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97785C6" w:rsidR="00E90E49" w:rsidRPr="00CE0424" w:rsidRDefault="00E90E49" w:rsidP="00E35559">
      <w:pPr>
        <w:pStyle w:val="3GPPHeader"/>
        <w:spacing w:after="60"/>
        <w:rPr>
          <w:sz w:val="32"/>
          <w:szCs w:val="32"/>
          <w:highlight w:val="yellow"/>
        </w:rPr>
      </w:pPr>
      <w:r w:rsidRPr="00CE0424">
        <w:t>3GPP TSG-RAN WG</w:t>
      </w:r>
      <w:r w:rsidR="00EE75BF">
        <w:t>4</w:t>
      </w:r>
      <w:r w:rsidRPr="00CE0424">
        <w:t xml:space="preserve"> </w:t>
      </w:r>
      <w:r w:rsidR="008F1C4E">
        <w:t xml:space="preserve">Meeting </w:t>
      </w:r>
      <w:r w:rsidRPr="00CE0424">
        <w:t>#</w:t>
      </w:r>
      <w:r w:rsidR="00EE75BF">
        <w:t>108</w:t>
      </w:r>
      <w:r w:rsidRPr="00CE0424">
        <w:tab/>
      </w:r>
      <w:r w:rsidRPr="00CE0424">
        <w:rPr>
          <w:sz w:val="32"/>
          <w:szCs w:val="32"/>
        </w:rPr>
        <w:t xml:space="preserve"> </w:t>
      </w:r>
      <w:r w:rsidR="00091557" w:rsidRPr="00CE0424">
        <w:rPr>
          <w:sz w:val="32"/>
          <w:szCs w:val="32"/>
        </w:rPr>
        <w:t>R</w:t>
      </w:r>
      <w:r w:rsidR="00EE75BF">
        <w:rPr>
          <w:sz w:val="32"/>
          <w:szCs w:val="32"/>
        </w:rPr>
        <w:t>4</w:t>
      </w:r>
      <w:r w:rsidR="00091557" w:rsidRPr="00CE0424">
        <w:rPr>
          <w:sz w:val="32"/>
          <w:szCs w:val="32"/>
        </w:rPr>
        <w:t>-</w:t>
      </w:r>
      <w:r w:rsidR="00EE75BF">
        <w:rPr>
          <w:sz w:val="32"/>
          <w:szCs w:val="32"/>
        </w:rPr>
        <w:t>23</w:t>
      </w:r>
      <w:r w:rsidR="00B26BC8">
        <w:rPr>
          <w:sz w:val="32"/>
          <w:szCs w:val="32"/>
        </w:rPr>
        <w:t>13011</w:t>
      </w:r>
    </w:p>
    <w:p w14:paraId="0CE7B7E6" w14:textId="2875FF03" w:rsidR="00E90E49" w:rsidRPr="00CE0424" w:rsidRDefault="00EE75BF" w:rsidP="00311702">
      <w:pPr>
        <w:pStyle w:val="3GPPHeader"/>
      </w:pPr>
      <w:r w:rsidRPr="00972819">
        <w:t>Toulouse</w:t>
      </w:r>
      <w:r w:rsidR="0027144F" w:rsidRPr="00972819">
        <w:t xml:space="preserve">, </w:t>
      </w:r>
      <w:r w:rsidRPr="00972819">
        <w:t>France</w:t>
      </w:r>
      <w:r w:rsidR="0027144F" w:rsidRPr="00972819">
        <w:t xml:space="preserve">, </w:t>
      </w:r>
      <w:r w:rsidRPr="00972819">
        <w:t>August</w:t>
      </w:r>
      <w:r w:rsidR="0027144F" w:rsidRPr="00972819">
        <w:t xml:space="preserve"> </w:t>
      </w:r>
      <w:r w:rsidR="00972819" w:rsidRPr="00972819">
        <w:t>21st</w:t>
      </w:r>
      <w:r w:rsidR="001D53E7" w:rsidRPr="00972819">
        <w:t xml:space="preserve"> – </w:t>
      </w:r>
      <w:r w:rsidR="00972819" w:rsidRPr="00972819">
        <w:t>25</w:t>
      </w:r>
      <w:r w:rsidR="001D53E7" w:rsidRPr="00972819">
        <w:t>th</w:t>
      </w:r>
      <w:r w:rsidR="00C37CB2" w:rsidRPr="00972819">
        <w:t xml:space="preserve"> </w:t>
      </w:r>
      <w:r w:rsidR="0027144F" w:rsidRPr="00972819">
        <w:t>20</w:t>
      </w:r>
      <w:r w:rsidR="00972819" w:rsidRPr="00972819">
        <w:t>23</w:t>
      </w:r>
    </w:p>
    <w:p w14:paraId="3086AC07" w14:textId="77777777" w:rsidR="00E90E49" w:rsidRPr="00CE0424" w:rsidRDefault="00E90E49" w:rsidP="00357380">
      <w:pPr>
        <w:pStyle w:val="3GPPHeader"/>
      </w:pPr>
    </w:p>
    <w:p w14:paraId="3982483C" w14:textId="20AFCFD4"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B26BC8">
        <w:rPr>
          <w:sz w:val="22"/>
          <w:lang w:val="sv-FI"/>
        </w:rPr>
        <w:t>8.19.2.3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3510FDC" w:rsidR="00E90E49" w:rsidRPr="00CE0424" w:rsidRDefault="003D3C45" w:rsidP="00311702">
      <w:pPr>
        <w:pStyle w:val="3GPPHeader"/>
        <w:rPr>
          <w:sz w:val="22"/>
        </w:rPr>
      </w:pPr>
      <w:r>
        <w:rPr>
          <w:sz w:val="22"/>
        </w:rPr>
        <w:t>Title:</w:t>
      </w:r>
      <w:r w:rsidR="00E90E49" w:rsidRPr="00CE0424">
        <w:rPr>
          <w:sz w:val="22"/>
        </w:rPr>
        <w:tab/>
      </w:r>
      <w:r w:rsidR="00B26BC8" w:rsidRPr="00B26BC8">
        <w:rPr>
          <w:sz w:val="22"/>
        </w:rPr>
        <w:t>SBFD BS requirements discussion</w:t>
      </w:r>
    </w:p>
    <w:p w14:paraId="025260C1" w14:textId="55812C31" w:rsidR="00E90E49" w:rsidRPr="00CE0424" w:rsidRDefault="00E90E49" w:rsidP="00D546FF">
      <w:pPr>
        <w:pStyle w:val="3GPPHeader"/>
        <w:rPr>
          <w:sz w:val="22"/>
        </w:rPr>
      </w:pPr>
      <w:r w:rsidRPr="00CE0424">
        <w:rPr>
          <w:sz w:val="22"/>
        </w:rPr>
        <w:t>Document for:</w:t>
      </w:r>
      <w:r w:rsidRPr="00CE0424">
        <w:rPr>
          <w:sz w:val="22"/>
        </w:rPr>
        <w:tab/>
      </w:r>
      <w:r w:rsidR="00C6132C">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030C368" w:rsidR="00477768" w:rsidRPr="00CE0424" w:rsidRDefault="00C6132C" w:rsidP="00CE0424">
      <w:pPr>
        <w:pStyle w:val="BodyText"/>
      </w:pPr>
      <w:r>
        <w:t>Although the SBFD work in Rel-18 is a Study Item and not a Work Item, it is still useful as part of the study to assess the impact of SBFD on RF requirements. In this document, we present views on the remaining issues for RF requirements for SBFD.</w:t>
      </w:r>
    </w:p>
    <w:p w14:paraId="60123794" w14:textId="77777777" w:rsidR="004000E8" w:rsidRDefault="00230D18" w:rsidP="00CE0424">
      <w:pPr>
        <w:pStyle w:val="Heading1"/>
      </w:pPr>
      <w:bookmarkStart w:id="0" w:name="_Ref178064866"/>
      <w:r>
        <w:t>2</w:t>
      </w:r>
      <w:r>
        <w:tab/>
      </w:r>
      <w:r w:rsidR="004000E8" w:rsidRPr="00CE0424">
        <w:t>Discussion</w:t>
      </w:r>
      <w:bookmarkEnd w:id="0"/>
    </w:p>
    <w:p w14:paraId="6FD1E352" w14:textId="77777777" w:rsidR="00FD17AC" w:rsidRDefault="00FD17AC" w:rsidP="00FD17AC">
      <w:pPr>
        <w:rPr>
          <w:lang w:val="en-GB" w:eastAsia="ja-JP"/>
        </w:rPr>
      </w:pPr>
    </w:p>
    <w:p w14:paraId="4D47F3E3" w14:textId="29C05395" w:rsidR="00FD17AC" w:rsidRPr="00FD17AC" w:rsidRDefault="00FD17AC" w:rsidP="00FD17AC">
      <w:pPr>
        <w:pStyle w:val="Heading2"/>
      </w:pPr>
      <w:r>
        <w:t>2.1</w:t>
      </w:r>
      <w:r>
        <w:tab/>
        <w:t>SBFD specific requirements</w:t>
      </w:r>
    </w:p>
    <w:p w14:paraId="2FAD009B" w14:textId="77777777" w:rsidR="005344FC" w:rsidRDefault="005344FC" w:rsidP="00D43355">
      <w:pPr>
        <w:rPr>
          <w:lang w:val="en-GB" w:eastAsia="ja-JP"/>
        </w:rPr>
      </w:pPr>
    </w:p>
    <w:p w14:paraId="39A3FE28" w14:textId="364FD50C" w:rsidR="00D43355" w:rsidRPr="00726381" w:rsidRDefault="00D43355" w:rsidP="00D43355">
      <w:pPr>
        <w:rPr>
          <w:u w:val="single"/>
          <w:lang w:val="en-GB" w:eastAsia="ja-JP"/>
        </w:rPr>
      </w:pPr>
      <w:r w:rsidRPr="00726381">
        <w:rPr>
          <w:u w:val="single"/>
          <w:lang w:val="en-GB" w:eastAsia="ja-JP"/>
        </w:rPr>
        <w:t>Inter-sub band ACLR, OBUE</w:t>
      </w:r>
    </w:p>
    <w:p w14:paraId="3828D293" w14:textId="01C4FD36" w:rsidR="00824AB5" w:rsidRDefault="00E66F97" w:rsidP="00D43355">
      <w:pPr>
        <w:rPr>
          <w:lang w:val="en-GB" w:eastAsia="ja-JP"/>
        </w:rPr>
      </w:pPr>
      <w:r>
        <w:rPr>
          <w:lang w:val="en-GB" w:eastAsia="ja-JP"/>
        </w:rPr>
        <w:t>SBFD requires suppression of transmitter leakage components from the transmit sub-band that occur in the receive sub-band</w:t>
      </w:r>
      <w:r w:rsidR="00EA32DA">
        <w:rPr>
          <w:lang w:val="en-GB" w:eastAsia="ja-JP"/>
        </w:rPr>
        <w:t xml:space="preserve"> </w:t>
      </w:r>
      <w:proofErr w:type="gramStart"/>
      <w:r w:rsidR="00EA32DA">
        <w:rPr>
          <w:lang w:val="en-GB" w:eastAsia="ja-JP"/>
        </w:rPr>
        <w:t>in order to</w:t>
      </w:r>
      <w:proofErr w:type="gramEnd"/>
      <w:r w:rsidR="00EA32DA">
        <w:rPr>
          <w:lang w:val="en-GB" w:eastAsia="ja-JP"/>
        </w:rPr>
        <w:t xml:space="preserve"> provide receiver sensitivity in SBFD slots. The OTA sensitivity test, if defined properly can implicitly capture </w:t>
      </w:r>
      <w:r w:rsidR="00A46D41">
        <w:rPr>
          <w:lang w:val="en-GB" w:eastAsia="ja-JP"/>
        </w:rPr>
        <w:t>self-interference from the BS transmitter.</w:t>
      </w:r>
    </w:p>
    <w:p w14:paraId="1CACB479" w14:textId="35DE9714" w:rsidR="00A46D41" w:rsidRDefault="00A46D41" w:rsidP="00D43355">
      <w:pPr>
        <w:rPr>
          <w:lang w:val="en-GB" w:eastAsia="ja-JP"/>
        </w:rPr>
      </w:pPr>
      <w:r>
        <w:rPr>
          <w:lang w:val="en-GB" w:eastAsia="ja-JP"/>
        </w:rPr>
        <w:t xml:space="preserve">To function within the context of a network, SBFD requires that </w:t>
      </w:r>
      <w:r w:rsidR="00F11EAE">
        <w:rPr>
          <w:lang w:val="en-GB" w:eastAsia="ja-JP"/>
        </w:rPr>
        <w:t xml:space="preserve">also transmitter emissions from other BS are sufficiently supressed, for example co-site inter-sector </w:t>
      </w:r>
      <w:proofErr w:type="spellStart"/>
      <w:r w:rsidR="00F11EAE">
        <w:rPr>
          <w:lang w:val="en-GB" w:eastAsia="ja-JP"/>
        </w:rPr>
        <w:t>gNB</w:t>
      </w:r>
      <w:proofErr w:type="spellEnd"/>
      <w:r w:rsidR="00F11EAE">
        <w:rPr>
          <w:lang w:val="en-GB" w:eastAsia="ja-JP"/>
        </w:rPr>
        <w:t xml:space="preserve"> or </w:t>
      </w:r>
      <w:proofErr w:type="spellStart"/>
      <w:r w:rsidR="00F11EAE">
        <w:rPr>
          <w:lang w:val="en-GB" w:eastAsia="ja-JP"/>
        </w:rPr>
        <w:t>gNB</w:t>
      </w:r>
      <w:proofErr w:type="spellEnd"/>
      <w:r w:rsidR="00F11EAE">
        <w:rPr>
          <w:lang w:val="en-GB" w:eastAsia="ja-JP"/>
        </w:rPr>
        <w:t xml:space="preserve"> at other sites. It has been suggested during the SI that an operator can manage inter-sector emissions by design of the site, considering the distance between the sectors. Similarly, to enable SBFD in a deployment, an operator may need to consider the positions and distances between different </w:t>
      </w:r>
      <w:proofErr w:type="spellStart"/>
      <w:r w:rsidR="00F11EAE">
        <w:rPr>
          <w:lang w:val="en-GB" w:eastAsia="ja-JP"/>
        </w:rPr>
        <w:t>gNB</w:t>
      </w:r>
      <w:proofErr w:type="spellEnd"/>
      <w:r w:rsidR="00F11EAE">
        <w:rPr>
          <w:lang w:val="en-GB" w:eastAsia="ja-JP"/>
        </w:rPr>
        <w:t xml:space="preserve"> sites.</w:t>
      </w:r>
    </w:p>
    <w:p w14:paraId="153036A5" w14:textId="4B86EBB9" w:rsidR="003C2BD7" w:rsidRDefault="003C2BD7" w:rsidP="00D43355">
      <w:pPr>
        <w:rPr>
          <w:lang w:val="en-GB" w:eastAsia="ja-JP"/>
        </w:rPr>
      </w:pPr>
      <w:r>
        <w:rPr>
          <w:lang w:val="en-GB" w:eastAsia="ja-JP"/>
        </w:rPr>
        <w:t xml:space="preserve">The planning of sectors within a site, or different sites </w:t>
      </w:r>
      <w:r w:rsidR="00B95DB5">
        <w:rPr>
          <w:lang w:val="en-GB" w:eastAsia="ja-JP"/>
        </w:rPr>
        <w:t xml:space="preserve">requires that the operator has an expectation of the minimum frequency </w:t>
      </w:r>
      <w:proofErr w:type="spellStart"/>
      <w:r w:rsidR="001C7D77">
        <w:rPr>
          <w:lang w:val="en-GB" w:eastAsia="ja-JP"/>
        </w:rPr>
        <w:t>supression</w:t>
      </w:r>
      <w:proofErr w:type="spellEnd"/>
      <w:r w:rsidR="00B95DB5">
        <w:rPr>
          <w:lang w:val="en-GB" w:eastAsia="ja-JP"/>
        </w:rPr>
        <w:t xml:space="preserve"> that is achieved by SBFD BS</w:t>
      </w:r>
      <w:r w:rsidR="002951D8">
        <w:rPr>
          <w:lang w:val="en-GB" w:eastAsia="ja-JP"/>
        </w:rPr>
        <w:t>. Thus, ensuring that SBFD BS can meet a minimum requirement on emissions into the RX sub-band is an important part of the RAN4 radio requirements specification.</w:t>
      </w:r>
    </w:p>
    <w:p w14:paraId="15F9E03D" w14:textId="3D074CCB" w:rsidR="002951D8" w:rsidRDefault="002951D8" w:rsidP="00D43355">
      <w:pPr>
        <w:rPr>
          <w:lang w:val="en-GB" w:eastAsia="ja-JP"/>
        </w:rPr>
      </w:pPr>
      <w:r>
        <w:rPr>
          <w:lang w:val="en-GB" w:eastAsia="ja-JP"/>
        </w:rPr>
        <w:t>The best way to regulate the emissions</w:t>
      </w:r>
      <w:r w:rsidR="00632C3B">
        <w:rPr>
          <w:lang w:val="en-GB" w:eastAsia="ja-JP"/>
        </w:rPr>
        <w:t xml:space="preserve"> from the TX sub-band into the RX sub-band is to create a requirement analogous to ACLR on the ratio of emissions between the sub-bands.</w:t>
      </w:r>
    </w:p>
    <w:p w14:paraId="2E3DECEF" w14:textId="5B9747C6" w:rsidR="00726381" w:rsidRDefault="00726381" w:rsidP="00726381">
      <w:pPr>
        <w:pStyle w:val="Proposal"/>
        <w:rPr>
          <w:lang w:val="en-GB"/>
        </w:rPr>
      </w:pPr>
      <w:bookmarkStart w:id="1" w:name="_Toc142657543"/>
      <w:r>
        <w:rPr>
          <w:lang w:val="en-GB"/>
        </w:rPr>
        <w:t xml:space="preserve">Define a requirement on inter sub-band leakage </w:t>
      </w:r>
      <w:proofErr w:type="gramStart"/>
      <w:r>
        <w:rPr>
          <w:lang w:val="en-GB"/>
        </w:rPr>
        <w:t>ratio</w:t>
      </w:r>
      <w:bookmarkEnd w:id="1"/>
      <w:proofErr w:type="gramEnd"/>
    </w:p>
    <w:p w14:paraId="73F49E09" w14:textId="4FCB8A38" w:rsidR="00632C3B" w:rsidRDefault="00632C3B" w:rsidP="00D43355">
      <w:pPr>
        <w:rPr>
          <w:lang w:val="en-GB" w:eastAsia="ja-JP"/>
        </w:rPr>
      </w:pPr>
      <w:r>
        <w:rPr>
          <w:lang w:val="en-GB" w:eastAsia="ja-JP"/>
        </w:rPr>
        <w:t xml:space="preserve">OBUE is an absolute emissions requirement outside of the </w:t>
      </w:r>
      <w:proofErr w:type="gramStart"/>
      <w:r>
        <w:rPr>
          <w:lang w:val="en-GB" w:eastAsia="ja-JP"/>
        </w:rPr>
        <w:t>carrier, and</w:t>
      </w:r>
      <w:proofErr w:type="gramEnd"/>
      <w:r>
        <w:rPr>
          <w:lang w:val="en-GB" w:eastAsia="ja-JP"/>
        </w:rPr>
        <w:t xml:space="preserve"> is derived from regulatory requirements in many regions. We do not see any harm in setting an absolute emissions requirement analogous to OBUE in the RX sub-band, but assuming that an ACLR like requirement </w:t>
      </w:r>
      <w:r w:rsidR="00ED0DC9">
        <w:rPr>
          <w:lang w:val="en-GB" w:eastAsia="ja-JP"/>
        </w:rPr>
        <w:t>on TX sub-band emissions is set then we do not view an absolute emissions requirement as essential.</w:t>
      </w:r>
    </w:p>
    <w:p w14:paraId="5CB759C9" w14:textId="53F5AF1D" w:rsidR="00726381" w:rsidRDefault="00726381" w:rsidP="00726381">
      <w:pPr>
        <w:pStyle w:val="Proposal"/>
        <w:rPr>
          <w:lang w:val="en-GB"/>
        </w:rPr>
      </w:pPr>
      <w:bookmarkStart w:id="2" w:name="_Toc142657544"/>
      <w:r>
        <w:rPr>
          <w:lang w:val="en-GB"/>
        </w:rPr>
        <w:lastRenderedPageBreak/>
        <w:t>Consider a requirement on the absolute level of emissions in the RX sub-</w:t>
      </w:r>
      <w:proofErr w:type="gramStart"/>
      <w:r>
        <w:rPr>
          <w:lang w:val="en-GB"/>
        </w:rPr>
        <w:t>band</w:t>
      </w:r>
      <w:bookmarkEnd w:id="2"/>
      <w:proofErr w:type="gramEnd"/>
    </w:p>
    <w:p w14:paraId="0B41F217" w14:textId="77777777" w:rsidR="00824AB5" w:rsidRDefault="00824AB5" w:rsidP="00D43355">
      <w:pPr>
        <w:rPr>
          <w:lang w:val="en-GB" w:eastAsia="ja-JP"/>
        </w:rPr>
      </w:pPr>
    </w:p>
    <w:p w14:paraId="02424913" w14:textId="4860B011" w:rsidR="00816451" w:rsidRPr="00726381" w:rsidRDefault="00816451" w:rsidP="00D43355">
      <w:pPr>
        <w:rPr>
          <w:u w:val="single"/>
          <w:lang w:val="en-GB" w:eastAsia="ja-JP"/>
        </w:rPr>
      </w:pPr>
      <w:r w:rsidRPr="00726381">
        <w:rPr>
          <w:u w:val="single"/>
          <w:lang w:val="en-GB" w:eastAsia="ja-JP"/>
        </w:rPr>
        <w:t xml:space="preserve">Inter sub-band </w:t>
      </w:r>
      <w:proofErr w:type="gramStart"/>
      <w:r w:rsidRPr="00726381">
        <w:rPr>
          <w:u w:val="single"/>
          <w:lang w:val="en-GB" w:eastAsia="ja-JP"/>
        </w:rPr>
        <w:t>selectivity</w:t>
      </w:r>
      <w:proofErr w:type="gramEnd"/>
    </w:p>
    <w:p w14:paraId="3CF17DB0" w14:textId="53265520" w:rsidR="001C7D77" w:rsidRDefault="004D4C50" w:rsidP="001C7D77">
      <w:pPr>
        <w:rPr>
          <w:lang w:val="en-GB" w:eastAsia="ja-JP"/>
        </w:rPr>
      </w:pPr>
      <w:r>
        <w:rPr>
          <w:lang w:val="en-GB" w:eastAsia="ja-JP"/>
        </w:rPr>
        <w:t xml:space="preserve">In addition to transmitter leakage, SBFD receiver performance is influenced by the selectivity and blocking requirements of the SBFD receiver with respect to signals in the TX sub-band. Similar to the TX emissions, the selectivity of the SBFD receiver with respect to the transmitter in </w:t>
      </w:r>
      <w:proofErr w:type="spellStart"/>
      <w:proofErr w:type="gramStart"/>
      <w:r>
        <w:rPr>
          <w:lang w:val="en-GB" w:eastAsia="ja-JP"/>
        </w:rPr>
        <w:t>it’s</w:t>
      </w:r>
      <w:proofErr w:type="spellEnd"/>
      <w:proofErr w:type="gramEnd"/>
      <w:r>
        <w:rPr>
          <w:lang w:val="en-GB" w:eastAsia="ja-JP"/>
        </w:rPr>
        <w:t xml:space="preserve"> own </w:t>
      </w:r>
      <w:proofErr w:type="spellStart"/>
      <w:r w:rsidR="003051C5">
        <w:rPr>
          <w:lang w:val="en-GB" w:eastAsia="ja-JP"/>
        </w:rPr>
        <w:t>gNB</w:t>
      </w:r>
      <w:proofErr w:type="spellEnd"/>
      <w:r w:rsidR="003051C5">
        <w:rPr>
          <w:lang w:val="en-GB" w:eastAsia="ja-JP"/>
        </w:rPr>
        <w:t xml:space="preserve"> is implicitly captured by the OTA sensitivity requirement if properly designed.</w:t>
      </w:r>
      <w:r w:rsidR="00B51007">
        <w:rPr>
          <w:lang w:val="en-GB" w:eastAsia="ja-JP"/>
        </w:rPr>
        <w:t xml:space="preserve"> </w:t>
      </w:r>
      <w:r w:rsidR="00055229">
        <w:rPr>
          <w:lang w:val="en-GB" w:eastAsia="ja-JP"/>
        </w:rPr>
        <w:t>However,</w:t>
      </w:r>
      <w:r w:rsidR="00B51007">
        <w:rPr>
          <w:lang w:val="en-GB" w:eastAsia="ja-JP"/>
        </w:rPr>
        <w:t xml:space="preserve"> in a full network, the RX sub-band may also experience degradation due to strong signals in the TX sub-bands of other </w:t>
      </w:r>
      <w:proofErr w:type="spellStart"/>
      <w:r w:rsidR="00B51007">
        <w:rPr>
          <w:lang w:val="en-GB" w:eastAsia="ja-JP"/>
        </w:rPr>
        <w:t>gNBs</w:t>
      </w:r>
      <w:proofErr w:type="spellEnd"/>
      <w:r w:rsidR="00B51007">
        <w:rPr>
          <w:lang w:val="en-GB" w:eastAsia="ja-JP"/>
        </w:rPr>
        <w:t xml:space="preserve"> in adjacent sectors or sites. </w:t>
      </w:r>
      <w:proofErr w:type="gramStart"/>
      <w:r w:rsidR="001C7D77">
        <w:rPr>
          <w:lang w:val="en-GB" w:eastAsia="ja-JP"/>
        </w:rPr>
        <w:t>Similar to</w:t>
      </w:r>
      <w:proofErr w:type="gramEnd"/>
      <w:r w:rsidR="001C7D77">
        <w:rPr>
          <w:lang w:val="en-GB" w:eastAsia="ja-JP"/>
        </w:rPr>
        <w:t xml:space="preserve"> the emissions, it has been suggested during the SI that an operator can manage inter-sector TX power by design of the site, considering the distance between the sectors. </w:t>
      </w:r>
      <w:r w:rsidR="00A04FF0">
        <w:rPr>
          <w:lang w:val="en-GB" w:eastAsia="ja-JP"/>
        </w:rPr>
        <w:t>In addition</w:t>
      </w:r>
      <w:r w:rsidR="001C7D77">
        <w:rPr>
          <w:lang w:val="en-GB" w:eastAsia="ja-JP"/>
        </w:rPr>
        <w:t xml:space="preserve">, to enable SBFD in a deployment, an operator may need to consider the positions and distances between different </w:t>
      </w:r>
      <w:proofErr w:type="spellStart"/>
      <w:r w:rsidR="001C7D77">
        <w:rPr>
          <w:lang w:val="en-GB" w:eastAsia="ja-JP"/>
        </w:rPr>
        <w:t>gNB</w:t>
      </w:r>
      <w:proofErr w:type="spellEnd"/>
      <w:r w:rsidR="001C7D77">
        <w:rPr>
          <w:lang w:val="en-GB" w:eastAsia="ja-JP"/>
        </w:rPr>
        <w:t xml:space="preserve"> sites.</w:t>
      </w:r>
    </w:p>
    <w:p w14:paraId="027B900B" w14:textId="5B6A7BA3" w:rsidR="00A04FF0" w:rsidRDefault="00A04FF0" w:rsidP="00A04FF0">
      <w:pPr>
        <w:rPr>
          <w:lang w:val="en-GB" w:eastAsia="ja-JP"/>
        </w:rPr>
      </w:pPr>
      <w:r>
        <w:rPr>
          <w:lang w:val="en-GB" w:eastAsia="ja-JP"/>
        </w:rPr>
        <w:t xml:space="preserve">The planning of sectors within a site, or different sites requires that the operator has an expectation of the minimum blocking and selectivity towards the TX sub-band that is achieved by SBFD BS. Thus, ensuring that SBFD BS can meet a minimum requirement on </w:t>
      </w:r>
      <w:r w:rsidR="0061420F">
        <w:rPr>
          <w:lang w:val="en-GB" w:eastAsia="ja-JP"/>
        </w:rPr>
        <w:t>blocking and selectivity</w:t>
      </w:r>
      <w:r>
        <w:rPr>
          <w:lang w:val="en-GB" w:eastAsia="ja-JP"/>
        </w:rPr>
        <w:t xml:space="preserve"> the RX sub-band is an important part of the RAN4 radio requirements specification.</w:t>
      </w:r>
    </w:p>
    <w:p w14:paraId="7AA19033" w14:textId="55EB9A55" w:rsidR="00607502" w:rsidRDefault="00607502" w:rsidP="00607502">
      <w:pPr>
        <w:pStyle w:val="Proposal"/>
        <w:rPr>
          <w:lang w:val="en-GB"/>
        </w:rPr>
      </w:pPr>
      <w:bookmarkStart w:id="3" w:name="_Toc142657545"/>
      <w:r>
        <w:rPr>
          <w:lang w:val="en-GB"/>
        </w:rPr>
        <w:t>Define an inter-</w:t>
      </w:r>
      <w:proofErr w:type="spellStart"/>
      <w:r>
        <w:rPr>
          <w:lang w:val="en-GB"/>
        </w:rPr>
        <w:t>subband</w:t>
      </w:r>
      <w:proofErr w:type="spellEnd"/>
      <w:r>
        <w:rPr>
          <w:lang w:val="en-GB"/>
        </w:rPr>
        <w:t xml:space="preserve"> selectivity requirement</w:t>
      </w:r>
      <w:r w:rsidR="004773F5">
        <w:rPr>
          <w:lang w:val="en-GB"/>
        </w:rPr>
        <w:t>.</w:t>
      </w:r>
      <w:bookmarkEnd w:id="3"/>
    </w:p>
    <w:p w14:paraId="1A712A97" w14:textId="77777777" w:rsidR="00A04FF0" w:rsidRDefault="00A04FF0" w:rsidP="001C7D77">
      <w:pPr>
        <w:rPr>
          <w:lang w:val="en-GB" w:eastAsia="ja-JP"/>
        </w:rPr>
      </w:pPr>
    </w:p>
    <w:p w14:paraId="74EEA905" w14:textId="195ABB60" w:rsidR="00FD17AC" w:rsidRDefault="00FD17AC" w:rsidP="00FD17AC">
      <w:pPr>
        <w:pStyle w:val="Heading2"/>
      </w:pPr>
      <w:r>
        <w:t>2.2</w:t>
      </w:r>
      <w:r>
        <w:tab/>
        <w:t>Applicability of general BS requirements in SBFD slots</w:t>
      </w:r>
    </w:p>
    <w:p w14:paraId="61FCE550" w14:textId="77777777" w:rsidR="00FD17AC" w:rsidRPr="00FD17AC" w:rsidRDefault="00FD17AC" w:rsidP="00FD17AC">
      <w:pPr>
        <w:rPr>
          <w:lang w:val="en-GB" w:eastAsia="ja-JP"/>
        </w:rPr>
      </w:pPr>
    </w:p>
    <w:p w14:paraId="4E7B153C" w14:textId="77777777" w:rsidR="00F93CBE" w:rsidRPr="004773F5" w:rsidRDefault="00F93CBE" w:rsidP="00F93CBE">
      <w:pPr>
        <w:rPr>
          <w:u w:val="single"/>
          <w:lang w:val="en-GB" w:eastAsia="ja-JP"/>
        </w:rPr>
      </w:pPr>
      <w:r w:rsidRPr="004773F5">
        <w:rPr>
          <w:u w:val="single"/>
          <w:lang w:val="en-GB" w:eastAsia="ja-JP"/>
        </w:rPr>
        <w:t>Transmitted signal quality</w:t>
      </w:r>
    </w:p>
    <w:p w14:paraId="0F0D47F4" w14:textId="2E32A1D0" w:rsidR="007C1A79" w:rsidRDefault="00F309FE" w:rsidP="00F93CBE">
      <w:pPr>
        <w:rPr>
          <w:lang w:val="en-GB" w:eastAsia="ja-JP"/>
        </w:rPr>
      </w:pPr>
      <w:r>
        <w:rPr>
          <w:lang w:val="en-GB" w:eastAsia="ja-JP"/>
        </w:rPr>
        <w:t>The requirements on EVM and TAE in SBFD slots can be the same as the existing EVM and TAE for non-SBFD.</w:t>
      </w:r>
    </w:p>
    <w:p w14:paraId="55697214" w14:textId="0F9EB0A6" w:rsidR="00607502" w:rsidRDefault="00607502" w:rsidP="00607502">
      <w:pPr>
        <w:pStyle w:val="Proposal"/>
        <w:rPr>
          <w:lang w:val="en-GB"/>
        </w:rPr>
      </w:pPr>
      <w:bookmarkStart w:id="4" w:name="_Toc142657546"/>
      <w:r>
        <w:rPr>
          <w:lang w:val="en-GB"/>
        </w:rPr>
        <w:t xml:space="preserve">The requirements for EVM and TAE in SBFD slots can be the same as for </w:t>
      </w:r>
      <w:r w:rsidR="004773F5">
        <w:rPr>
          <w:lang w:val="en-GB"/>
        </w:rPr>
        <w:t>normal TDD TX slots.</w:t>
      </w:r>
      <w:bookmarkEnd w:id="4"/>
    </w:p>
    <w:p w14:paraId="66EEE0A6" w14:textId="77777777" w:rsidR="007C1A79" w:rsidRDefault="007C1A79" w:rsidP="00F93CBE">
      <w:pPr>
        <w:rPr>
          <w:lang w:val="en-GB" w:eastAsia="ja-JP"/>
        </w:rPr>
      </w:pPr>
    </w:p>
    <w:p w14:paraId="7371B8BD" w14:textId="77777777" w:rsidR="00D423C6" w:rsidRPr="004773F5" w:rsidRDefault="00D423C6" w:rsidP="00D423C6">
      <w:pPr>
        <w:rPr>
          <w:u w:val="single"/>
          <w:lang w:val="en-GB" w:eastAsia="ja-JP"/>
        </w:rPr>
      </w:pPr>
      <w:r w:rsidRPr="004773F5">
        <w:rPr>
          <w:u w:val="single"/>
          <w:lang w:val="en-GB" w:eastAsia="ja-JP"/>
        </w:rPr>
        <w:t>Transient period</w:t>
      </w:r>
    </w:p>
    <w:p w14:paraId="48AC2FA3" w14:textId="572AAE10" w:rsidR="00F309FE" w:rsidRDefault="000B712F" w:rsidP="00D423C6">
      <w:pPr>
        <w:rPr>
          <w:lang w:val="en-GB" w:eastAsia="ja-JP"/>
        </w:rPr>
      </w:pPr>
      <w:r>
        <w:rPr>
          <w:lang w:val="en-GB" w:eastAsia="ja-JP"/>
        </w:rPr>
        <w:t xml:space="preserve">Conventional TDD contains DL-UL and UL-DL switching. For SBFD, there may be DL-SBFD, SBFD-DL, UL-SBFD and SBFD-UL switching. Potentially, if there are different SBFD slot configurations </w:t>
      </w:r>
      <w:r w:rsidR="004F05EC">
        <w:rPr>
          <w:lang w:val="en-GB" w:eastAsia="ja-JP"/>
        </w:rPr>
        <w:t>then there may also be SBFD-SBFD switching (with different UL resources on the SBFD).</w:t>
      </w:r>
    </w:p>
    <w:p w14:paraId="38E75914" w14:textId="0C3A38F3" w:rsidR="0066080C" w:rsidRDefault="007754CA" w:rsidP="00D423C6">
      <w:pPr>
        <w:rPr>
          <w:lang w:val="en-GB" w:eastAsia="ja-JP"/>
        </w:rPr>
      </w:pPr>
      <w:r>
        <w:rPr>
          <w:lang w:val="en-GB" w:eastAsia="ja-JP"/>
        </w:rPr>
        <w:t xml:space="preserve">The overall switching time budget for TDD needs to be designed to prevent cross-link interference </w:t>
      </w:r>
      <w:r w:rsidR="00332D1B">
        <w:rPr>
          <w:lang w:val="en-GB" w:eastAsia="ja-JP"/>
        </w:rPr>
        <w:t>after the switch</w:t>
      </w:r>
      <w:r w:rsidR="0066080C">
        <w:rPr>
          <w:lang w:val="en-GB" w:eastAsia="ja-JP"/>
        </w:rPr>
        <w:t xml:space="preserve"> </w:t>
      </w:r>
      <w:r>
        <w:rPr>
          <w:lang w:val="en-GB" w:eastAsia="ja-JP"/>
        </w:rPr>
        <w:t>due to propagation time between different cells.</w:t>
      </w:r>
      <w:r w:rsidR="00E23626">
        <w:rPr>
          <w:lang w:val="en-GB" w:eastAsia="ja-JP"/>
        </w:rPr>
        <w:t xml:space="preserve"> </w:t>
      </w:r>
      <w:r w:rsidR="0066080C">
        <w:rPr>
          <w:lang w:val="en-GB" w:eastAsia="ja-JP"/>
        </w:rPr>
        <w:t xml:space="preserve">For example, the TX signal from one </w:t>
      </w:r>
      <w:proofErr w:type="spellStart"/>
      <w:r w:rsidR="0066080C">
        <w:rPr>
          <w:lang w:val="en-GB" w:eastAsia="ja-JP"/>
        </w:rPr>
        <w:t>gNB</w:t>
      </w:r>
      <w:proofErr w:type="spellEnd"/>
      <w:r w:rsidR="0066080C">
        <w:rPr>
          <w:lang w:val="en-GB" w:eastAsia="ja-JP"/>
        </w:rPr>
        <w:t xml:space="preserve"> may propagate to a nearby </w:t>
      </w:r>
      <w:proofErr w:type="spellStart"/>
      <w:r w:rsidR="0066080C">
        <w:rPr>
          <w:lang w:val="en-GB" w:eastAsia="ja-JP"/>
        </w:rPr>
        <w:t>gNB</w:t>
      </w:r>
      <w:proofErr w:type="spellEnd"/>
      <w:r w:rsidR="0066080C">
        <w:rPr>
          <w:lang w:val="en-GB" w:eastAsia="ja-JP"/>
        </w:rPr>
        <w:t xml:space="preserve"> That has already switched to RX and cause interference if the guard period is not enough.</w:t>
      </w:r>
    </w:p>
    <w:p w14:paraId="31ECA740" w14:textId="3AA4D2A3" w:rsidR="007754CA" w:rsidRDefault="00E23626" w:rsidP="00D423C6">
      <w:pPr>
        <w:rPr>
          <w:lang w:val="en-GB" w:eastAsia="ja-JP"/>
        </w:rPr>
      </w:pPr>
      <w:r>
        <w:rPr>
          <w:lang w:val="en-GB" w:eastAsia="ja-JP"/>
        </w:rPr>
        <w:t xml:space="preserve">When SBFD is switched, then at least part of the </w:t>
      </w:r>
      <w:proofErr w:type="spellStart"/>
      <w:r>
        <w:rPr>
          <w:lang w:val="en-GB" w:eastAsia="ja-JP"/>
        </w:rPr>
        <w:t>gNB</w:t>
      </w:r>
      <w:proofErr w:type="spellEnd"/>
      <w:r>
        <w:rPr>
          <w:lang w:val="en-GB" w:eastAsia="ja-JP"/>
        </w:rPr>
        <w:t xml:space="preserve"> antenna array will be switching between transmit and receive. SBFD needs to be operated in the same configuration across all nodes in the network, and the same </w:t>
      </w:r>
      <w:r w:rsidR="005049DC">
        <w:rPr>
          <w:lang w:val="en-GB" w:eastAsia="ja-JP"/>
        </w:rPr>
        <w:t>guard period</w:t>
      </w:r>
      <w:r>
        <w:rPr>
          <w:lang w:val="en-GB" w:eastAsia="ja-JP"/>
        </w:rPr>
        <w:t xml:space="preserve"> dimensioning considerations are needed to prevent cross link interference in the SBFD UL RBs</w:t>
      </w:r>
      <w:r w:rsidR="006F2BA9">
        <w:rPr>
          <w:lang w:val="en-GB" w:eastAsia="ja-JP"/>
        </w:rPr>
        <w:t xml:space="preserve"> between </w:t>
      </w:r>
      <w:proofErr w:type="spellStart"/>
      <w:r w:rsidR="006F2BA9">
        <w:rPr>
          <w:lang w:val="en-GB" w:eastAsia="ja-JP"/>
        </w:rPr>
        <w:t>gNB</w:t>
      </w:r>
      <w:proofErr w:type="spellEnd"/>
      <w:r w:rsidR="006F2BA9">
        <w:rPr>
          <w:lang w:val="en-GB" w:eastAsia="ja-JP"/>
        </w:rPr>
        <w:t xml:space="preserve"> due to propagation of the TX signal</w:t>
      </w:r>
      <w:r w:rsidR="005049DC">
        <w:rPr>
          <w:lang w:val="en-GB" w:eastAsia="ja-JP"/>
        </w:rPr>
        <w:t xml:space="preserve"> in the SBFD RBs</w:t>
      </w:r>
      <w:r>
        <w:rPr>
          <w:lang w:val="en-GB" w:eastAsia="ja-JP"/>
        </w:rPr>
        <w:t>.</w:t>
      </w:r>
    </w:p>
    <w:p w14:paraId="2932F1BC" w14:textId="2C2CC872" w:rsidR="003732A9" w:rsidRDefault="003732A9" w:rsidP="00D423C6">
      <w:pPr>
        <w:rPr>
          <w:lang w:val="en-GB" w:eastAsia="ja-JP"/>
        </w:rPr>
      </w:pPr>
      <w:r>
        <w:rPr>
          <w:lang w:val="en-GB" w:eastAsia="ja-JP"/>
        </w:rPr>
        <w:t xml:space="preserve">Since the overall TX switching time budget needs to be the same both for switching the full UL/DL and the </w:t>
      </w:r>
      <w:r w:rsidR="006744E4">
        <w:rPr>
          <w:lang w:val="en-GB" w:eastAsia="ja-JP"/>
        </w:rPr>
        <w:t xml:space="preserve">SBFD RBs then </w:t>
      </w:r>
      <w:r w:rsidR="00097E8E">
        <w:rPr>
          <w:lang w:val="en-GB" w:eastAsia="ja-JP"/>
        </w:rPr>
        <w:t>in principle the transient time should also be the same both for full TDD switching and for SBFD related switching.</w:t>
      </w:r>
    </w:p>
    <w:p w14:paraId="6036B986" w14:textId="151F0755" w:rsidR="00982295" w:rsidRDefault="00982295" w:rsidP="00982295">
      <w:pPr>
        <w:pStyle w:val="Observation"/>
        <w:rPr>
          <w:lang w:val="en-GB"/>
        </w:rPr>
      </w:pPr>
      <w:bookmarkStart w:id="5" w:name="_Toc142657537"/>
      <w:r>
        <w:rPr>
          <w:lang w:val="en-GB"/>
        </w:rPr>
        <w:t>The same considerations on inter-site interference due to switching occur for SBFD resources when switched between TX/RX as when the whole slot is switched.</w:t>
      </w:r>
      <w:bookmarkEnd w:id="5"/>
    </w:p>
    <w:p w14:paraId="6FA80D6D" w14:textId="70CD07D6" w:rsidR="00982295" w:rsidRDefault="00982295" w:rsidP="00982295">
      <w:pPr>
        <w:pStyle w:val="Proposal"/>
        <w:rPr>
          <w:lang w:val="en-GB"/>
        </w:rPr>
      </w:pPr>
      <w:bookmarkStart w:id="6" w:name="_Toc142657547"/>
      <w:r>
        <w:rPr>
          <w:lang w:val="en-GB"/>
        </w:rPr>
        <w:t>Apply the TDD switching time and off level requirement to SBFD RBs when they are switched between TX and RX.</w:t>
      </w:r>
      <w:bookmarkEnd w:id="6"/>
    </w:p>
    <w:p w14:paraId="3D5E2FE6" w14:textId="77777777" w:rsidR="00F309FE" w:rsidRDefault="00F309FE" w:rsidP="00D423C6">
      <w:pPr>
        <w:rPr>
          <w:lang w:val="en-GB" w:eastAsia="ja-JP"/>
        </w:rPr>
      </w:pPr>
    </w:p>
    <w:p w14:paraId="6CC924CA" w14:textId="77777777" w:rsidR="00D423C6" w:rsidRPr="00982295" w:rsidRDefault="00D423C6" w:rsidP="00D423C6">
      <w:pPr>
        <w:rPr>
          <w:u w:val="single"/>
          <w:lang w:val="en-GB" w:eastAsia="ja-JP"/>
        </w:rPr>
      </w:pPr>
      <w:r w:rsidRPr="00982295">
        <w:rPr>
          <w:u w:val="single"/>
          <w:lang w:val="en-GB" w:eastAsia="ja-JP"/>
        </w:rPr>
        <w:t>Total power dynamic range</w:t>
      </w:r>
    </w:p>
    <w:p w14:paraId="53941836" w14:textId="6024AF32" w:rsidR="00D423C6" w:rsidRDefault="00875F15" w:rsidP="00F93CBE">
      <w:pPr>
        <w:rPr>
          <w:lang w:val="en-GB" w:eastAsia="ja-JP"/>
        </w:rPr>
      </w:pPr>
      <w:r>
        <w:rPr>
          <w:lang w:val="en-GB" w:eastAsia="ja-JP"/>
        </w:rPr>
        <w:t xml:space="preserve">During RAN4#107, there was some suggestion that the power dynamic range requirement for SBFD slots should be updated to </w:t>
      </w:r>
      <w:proofErr w:type="gramStart"/>
      <w:r>
        <w:rPr>
          <w:lang w:val="en-GB" w:eastAsia="ja-JP"/>
        </w:rPr>
        <w:t>take into account</w:t>
      </w:r>
      <w:proofErr w:type="gramEnd"/>
      <w:r>
        <w:rPr>
          <w:lang w:val="en-GB" w:eastAsia="ja-JP"/>
        </w:rPr>
        <w:t xml:space="preserve"> the number of DL RBs in the SBFD slot.</w:t>
      </w:r>
    </w:p>
    <w:p w14:paraId="42BEC1D4" w14:textId="4254994C" w:rsidR="00194E4A" w:rsidRDefault="00D738A6" w:rsidP="00F93CBE">
      <w:pPr>
        <w:rPr>
          <w:lang w:val="en-GB" w:eastAsia="ja-JP"/>
        </w:rPr>
      </w:pPr>
      <w:r>
        <w:rPr>
          <w:lang w:val="en-GB" w:eastAsia="ja-JP"/>
        </w:rPr>
        <w:t>In principle, the dynamic range for</w:t>
      </w:r>
      <w:r w:rsidR="0006501B">
        <w:rPr>
          <w:lang w:val="en-GB" w:eastAsia="ja-JP"/>
        </w:rPr>
        <w:t xml:space="preserve"> the regular DL slots will be larger than for SBFD slots (due to the larger number of PRBs in SBFD slots). However, it is not clear whether the </w:t>
      </w:r>
      <w:proofErr w:type="spellStart"/>
      <w:r w:rsidR="0006501B">
        <w:rPr>
          <w:lang w:val="en-GB" w:eastAsia="ja-JP"/>
        </w:rPr>
        <w:t>gNB</w:t>
      </w:r>
      <w:proofErr w:type="spellEnd"/>
      <w:r w:rsidR="0006501B">
        <w:rPr>
          <w:lang w:val="en-GB" w:eastAsia="ja-JP"/>
        </w:rPr>
        <w:t xml:space="preserve"> maintains the same PSD in SBFD slots or </w:t>
      </w:r>
      <w:r w:rsidR="006944F0">
        <w:rPr>
          <w:lang w:val="en-GB" w:eastAsia="ja-JP"/>
        </w:rPr>
        <w:t xml:space="preserve">increases the PSD. If the same PSD is </w:t>
      </w:r>
      <w:r w:rsidR="00CD167A">
        <w:rPr>
          <w:lang w:val="en-GB" w:eastAsia="ja-JP"/>
        </w:rPr>
        <w:t>maintained,</w:t>
      </w:r>
      <w:r w:rsidR="006944F0">
        <w:rPr>
          <w:lang w:val="en-GB" w:eastAsia="ja-JP"/>
        </w:rPr>
        <w:t xml:space="preserve"> then</w:t>
      </w:r>
      <w:r w:rsidR="002F247E">
        <w:rPr>
          <w:lang w:val="en-GB" w:eastAsia="ja-JP"/>
        </w:rPr>
        <w:t xml:space="preserve"> a test of output power dynamic range in SBFD slots would need t</w:t>
      </w:r>
      <w:r w:rsidR="005E58F1">
        <w:rPr>
          <w:lang w:val="en-GB" w:eastAsia="ja-JP"/>
        </w:rPr>
        <w:t>o be based on a reduced dynamic range.</w:t>
      </w:r>
      <w:r w:rsidR="004B3003">
        <w:rPr>
          <w:lang w:val="en-GB" w:eastAsia="ja-JP"/>
        </w:rPr>
        <w:t xml:space="preserve"> It is likely that, if a proportion of the array is switched from TX to </w:t>
      </w:r>
      <w:proofErr w:type="gramStart"/>
      <w:r w:rsidR="004B3003">
        <w:rPr>
          <w:lang w:val="en-GB" w:eastAsia="ja-JP"/>
        </w:rPr>
        <w:t>RX</w:t>
      </w:r>
      <w:proofErr w:type="gramEnd"/>
      <w:r w:rsidR="004B3003">
        <w:rPr>
          <w:lang w:val="en-GB" w:eastAsia="ja-JP"/>
        </w:rPr>
        <w:t xml:space="preserve"> then the total power will be reduced and the PSD will depend on the amount of RBs and the proportion of the array dedicated to the TX sub-ban</w:t>
      </w:r>
      <w:r w:rsidR="00827B60">
        <w:rPr>
          <w:lang w:val="en-GB" w:eastAsia="ja-JP"/>
        </w:rPr>
        <w:t>d.</w:t>
      </w:r>
    </w:p>
    <w:p w14:paraId="528F7690" w14:textId="6CDE9D38" w:rsidR="00827B60" w:rsidRDefault="00827B60" w:rsidP="00F93CBE">
      <w:pPr>
        <w:rPr>
          <w:lang w:val="en-GB" w:eastAsia="ja-JP"/>
        </w:rPr>
      </w:pPr>
      <w:r>
        <w:rPr>
          <w:lang w:val="en-GB" w:eastAsia="ja-JP"/>
        </w:rPr>
        <w:t xml:space="preserve">It may be difficult to base the specification on the number of RBs dedicated to the TX sub-band. </w:t>
      </w:r>
      <w:r w:rsidR="007430DB">
        <w:rPr>
          <w:lang w:val="en-GB" w:eastAsia="ja-JP"/>
        </w:rPr>
        <w:t>However,</w:t>
      </w:r>
      <w:r>
        <w:rPr>
          <w:lang w:val="en-GB" w:eastAsia="ja-JP"/>
        </w:rPr>
        <w:t xml:space="preserve"> a workable definition of the requirement could be the power with the array at declared rated power for SBFD slots with all TX-sub-band RBs operating and the power for one RB used for non-SBFD slots. This would avoid the need for capturing or declaring the number of RBs for the TX sub-band.</w:t>
      </w:r>
    </w:p>
    <w:p w14:paraId="133C4DE1" w14:textId="74369C33" w:rsidR="00720B67" w:rsidRDefault="00FC0714" w:rsidP="00FC0714">
      <w:pPr>
        <w:pStyle w:val="Proposal"/>
        <w:rPr>
          <w:lang w:val="en-GB"/>
        </w:rPr>
      </w:pPr>
      <w:bookmarkStart w:id="7" w:name="_Toc142657548"/>
      <w:r>
        <w:rPr>
          <w:lang w:val="en-GB"/>
        </w:rPr>
        <w:t>Define the total power dynamic range requirement for SBFD slots as the range from declared rated power for SBFD slots to the power level for a single RB for non-SBFD slots.</w:t>
      </w:r>
      <w:bookmarkEnd w:id="7"/>
    </w:p>
    <w:p w14:paraId="74B7E939" w14:textId="77777777" w:rsidR="00F93CBE" w:rsidRDefault="00F93CBE" w:rsidP="00D43355">
      <w:pPr>
        <w:rPr>
          <w:lang w:val="en-GB" w:eastAsia="ja-JP"/>
        </w:rPr>
      </w:pPr>
    </w:p>
    <w:p w14:paraId="3365C859" w14:textId="77777777" w:rsidR="00D423C6" w:rsidRPr="00FC0714" w:rsidRDefault="00D423C6" w:rsidP="00D423C6">
      <w:pPr>
        <w:rPr>
          <w:u w:val="single"/>
          <w:lang w:val="en-GB" w:eastAsia="ja-JP"/>
        </w:rPr>
      </w:pPr>
      <w:r w:rsidRPr="00FC0714">
        <w:rPr>
          <w:u w:val="single"/>
          <w:lang w:val="en-GB" w:eastAsia="ja-JP"/>
        </w:rPr>
        <w:t>OBW</w:t>
      </w:r>
    </w:p>
    <w:p w14:paraId="5856C8A5" w14:textId="33E9E6DF" w:rsidR="00827B60" w:rsidRDefault="00071F48" w:rsidP="00D423C6">
      <w:pPr>
        <w:rPr>
          <w:lang w:val="en-GB" w:eastAsia="ja-JP"/>
        </w:rPr>
      </w:pPr>
      <w:r>
        <w:rPr>
          <w:lang w:val="en-GB" w:eastAsia="ja-JP"/>
        </w:rPr>
        <w:t>The occupied bandwidth is a regulatory requirement in some regions. To comply with current regulation, it should be defined based on the total carrier, even during SBFD slots.</w:t>
      </w:r>
    </w:p>
    <w:p w14:paraId="72DC8C68" w14:textId="28D6C761" w:rsidR="00FC0714" w:rsidRDefault="00FC0714" w:rsidP="00FC0714">
      <w:pPr>
        <w:pStyle w:val="Proposal"/>
        <w:rPr>
          <w:lang w:val="en-GB"/>
        </w:rPr>
      </w:pPr>
      <w:bookmarkStart w:id="8" w:name="_Toc142657549"/>
      <w:r>
        <w:rPr>
          <w:lang w:val="en-GB"/>
        </w:rPr>
        <w:t xml:space="preserve">Define Occupied Bandwidth based on the total carrier </w:t>
      </w:r>
      <w:r w:rsidR="007C6CBF">
        <w:rPr>
          <w:lang w:val="en-GB"/>
        </w:rPr>
        <w:t>in SBFD slots.</w:t>
      </w:r>
      <w:bookmarkEnd w:id="8"/>
    </w:p>
    <w:p w14:paraId="632BF684" w14:textId="77777777" w:rsidR="00071F48" w:rsidRDefault="00071F48" w:rsidP="00D423C6">
      <w:pPr>
        <w:rPr>
          <w:lang w:val="en-GB" w:eastAsia="ja-JP"/>
        </w:rPr>
      </w:pPr>
    </w:p>
    <w:p w14:paraId="3DDA722E" w14:textId="13275025" w:rsidR="00816451" w:rsidRPr="007C6CBF" w:rsidRDefault="00816451" w:rsidP="00D43355">
      <w:pPr>
        <w:rPr>
          <w:u w:val="single"/>
          <w:lang w:val="en-GB" w:eastAsia="ja-JP"/>
        </w:rPr>
      </w:pPr>
      <w:r w:rsidRPr="007C6CBF">
        <w:rPr>
          <w:u w:val="single"/>
          <w:lang w:val="en-GB" w:eastAsia="ja-JP"/>
        </w:rPr>
        <w:t>OBUE outside of carrier</w:t>
      </w:r>
    </w:p>
    <w:p w14:paraId="3B55D1FF" w14:textId="2350D05A" w:rsidR="005E7084" w:rsidRDefault="00FA22D1" w:rsidP="00D43355">
      <w:pPr>
        <w:rPr>
          <w:lang w:val="en-GB" w:eastAsia="ja-JP"/>
        </w:rPr>
      </w:pPr>
      <w:r>
        <w:rPr>
          <w:lang w:val="en-GB" w:eastAsia="ja-JP"/>
        </w:rPr>
        <w:t>The OBUE outside of the carrier should be based on the RF bandwidth edges considering the full carrier and not considering TX sub-bands. The requirement applies outside of the carrier bandwidth and is the same for both SBFD and non-SBFD slots (it may be tested in each type of slot).</w:t>
      </w:r>
    </w:p>
    <w:p w14:paraId="1B0657B2" w14:textId="5DD57EA6" w:rsidR="007C6CBF" w:rsidRDefault="007C6CBF" w:rsidP="007C6CBF">
      <w:pPr>
        <w:pStyle w:val="Proposal"/>
        <w:rPr>
          <w:lang w:val="en-GB"/>
        </w:rPr>
      </w:pPr>
      <w:bookmarkStart w:id="9" w:name="_Toc142657550"/>
      <w:r>
        <w:rPr>
          <w:lang w:val="en-GB"/>
        </w:rPr>
        <w:t>The RF bandwidth edge from which OBUE is defined is the edge of the carrier (same for both SBFD and non-SBFD slots)</w:t>
      </w:r>
      <w:r w:rsidR="0045063C">
        <w:rPr>
          <w:lang w:val="en-GB"/>
        </w:rPr>
        <w:t>.</w:t>
      </w:r>
      <w:bookmarkEnd w:id="9"/>
    </w:p>
    <w:p w14:paraId="72A89841" w14:textId="77777777" w:rsidR="005E7084" w:rsidRDefault="005E7084" w:rsidP="00D43355">
      <w:pPr>
        <w:rPr>
          <w:lang w:val="en-GB" w:eastAsia="ja-JP"/>
        </w:rPr>
      </w:pPr>
    </w:p>
    <w:p w14:paraId="1835A7F8" w14:textId="662AD6C7" w:rsidR="00471BE0" w:rsidRPr="0045063C" w:rsidRDefault="00471BE0" w:rsidP="00471BE0">
      <w:pPr>
        <w:rPr>
          <w:u w:val="single"/>
          <w:lang w:val="en-GB" w:eastAsia="ja-JP"/>
        </w:rPr>
      </w:pPr>
      <w:r w:rsidRPr="0045063C">
        <w:rPr>
          <w:u w:val="single"/>
          <w:lang w:val="en-GB" w:eastAsia="ja-JP"/>
        </w:rPr>
        <w:t>Transmitter spurious emission</w:t>
      </w:r>
    </w:p>
    <w:p w14:paraId="2E490837" w14:textId="7876C5F8" w:rsidR="00260F43" w:rsidRDefault="00260F43" w:rsidP="00471BE0">
      <w:pPr>
        <w:rPr>
          <w:lang w:val="en-GB" w:eastAsia="ja-JP"/>
        </w:rPr>
      </w:pPr>
      <w:r>
        <w:rPr>
          <w:lang w:val="en-GB" w:eastAsia="ja-JP"/>
        </w:rPr>
        <w:t xml:space="preserve">The transmitter spurious emissions requirement should apply outside of the edges of the 3GPP band, considering </w:t>
      </w:r>
      <w:proofErr w:type="spellStart"/>
      <w:r w:rsidR="00C77B72" w:rsidRPr="00F95B02">
        <w:t>Δf</w:t>
      </w:r>
      <w:r w:rsidR="00C77B72" w:rsidRPr="00F95B02">
        <w:rPr>
          <w:vertAlign w:val="subscript"/>
        </w:rPr>
        <w:t>OBUE</w:t>
      </w:r>
      <w:proofErr w:type="spellEnd"/>
      <w:r w:rsidR="006C1692">
        <w:rPr>
          <w:lang w:val="en-GB" w:eastAsia="ja-JP"/>
        </w:rPr>
        <w:t xml:space="preserve"> around the band edge in the same manner as for non-SBFD. The same requirement should be applied to both SBFD and non-SBFD slots.</w:t>
      </w:r>
    </w:p>
    <w:p w14:paraId="5E1CFC35" w14:textId="5CFB30F4" w:rsidR="0045063C" w:rsidRDefault="0045063C" w:rsidP="0045063C">
      <w:pPr>
        <w:pStyle w:val="Proposal"/>
        <w:rPr>
          <w:lang w:val="en-GB"/>
        </w:rPr>
      </w:pPr>
      <w:bookmarkStart w:id="10" w:name="_Toc142657551"/>
      <w:r>
        <w:rPr>
          <w:lang w:val="en-GB"/>
        </w:rPr>
        <w:t xml:space="preserve">The transmitter spurious emissions requirement is the same for both SBFD and non-SBFD </w:t>
      </w:r>
      <w:proofErr w:type="gramStart"/>
      <w:r>
        <w:rPr>
          <w:lang w:val="en-GB"/>
        </w:rPr>
        <w:t>slots</w:t>
      </w:r>
      <w:bookmarkEnd w:id="10"/>
      <w:proofErr w:type="gramEnd"/>
    </w:p>
    <w:p w14:paraId="4B7C641C" w14:textId="77777777" w:rsidR="00260F43" w:rsidRPr="00471BE0" w:rsidRDefault="00260F43" w:rsidP="00471BE0">
      <w:pPr>
        <w:rPr>
          <w:lang w:val="en-GB" w:eastAsia="ja-JP"/>
        </w:rPr>
      </w:pPr>
    </w:p>
    <w:p w14:paraId="1B5670C1" w14:textId="497BF90C" w:rsidR="00471BE0" w:rsidRPr="0045063C" w:rsidRDefault="00471BE0" w:rsidP="00471BE0">
      <w:pPr>
        <w:rPr>
          <w:u w:val="single"/>
          <w:lang w:val="en-GB" w:eastAsia="ja-JP"/>
        </w:rPr>
      </w:pPr>
      <w:r w:rsidRPr="0045063C">
        <w:rPr>
          <w:u w:val="single"/>
          <w:lang w:val="en-GB" w:eastAsia="ja-JP"/>
        </w:rPr>
        <w:t>Receiver spurious emissions</w:t>
      </w:r>
    </w:p>
    <w:p w14:paraId="56E4170E" w14:textId="1AF6B47D" w:rsidR="00D918D8" w:rsidRDefault="009A4B73" w:rsidP="00471BE0">
      <w:pPr>
        <w:rPr>
          <w:lang w:val="en-GB" w:eastAsia="ja-JP"/>
        </w:rPr>
      </w:pPr>
      <w:r>
        <w:rPr>
          <w:lang w:val="en-GB" w:eastAsia="ja-JP"/>
        </w:rPr>
        <w:t xml:space="preserve">For OTA testing, the receiver spurious emissions requirement should not be </w:t>
      </w:r>
      <w:proofErr w:type="gramStart"/>
      <w:r>
        <w:rPr>
          <w:lang w:val="en-GB" w:eastAsia="ja-JP"/>
        </w:rPr>
        <w:t>applied, since</w:t>
      </w:r>
      <w:proofErr w:type="gramEnd"/>
      <w:r>
        <w:rPr>
          <w:lang w:val="en-GB" w:eastAsia="ja-JP"/>
        </w:rPr>
        <w:t xml:space="preserve"> the BS is also transmitting.</w:t>
      </w:r>
    </w:p>
    <w:p w14:paraId="3C56CB30" w14:textId="750402A7" w:rsidR="009A4B73" w:rsidRDefault="009A4B73" w:rsidP="00471BE0">
      <w:pPr>
        <w:rPr>
          <w:lang w:val="en-GB" w:eastAsia="ja-JP"/>
        </w:rPr>
      </w:pPr>
      <w:r>
        <w:rPr>
          <w:lang w:val="en-GB" w:eastAsia="ja-JP"/>
        </w:rPr>
        <w:t xml:space="preserve">For conducted testing, the RX spurious emissions requirement should be applied to connectors in RX mode </w:t>
      </w:r>
      <w:proofErr w:type="gramStart"/>
      <w:r>
        <w:rPr>
          <w:lang w:val="en-GB" w:eastAsia="ja-JP"/>
        </w:rPr>
        <w:t>in order to</w:t>
      </w:r>
      <w:proofErr w:type="gramEnd"/>
      <w:r>
        <w:rPr>
          <w:lang w:val="en-GB" w:eastAsia="ja-JP"/>
        </w:rPr>
        <w:t xml:space="preserve"> ensure that there are not any significant emissions from those connectors. The requirement should be the same as the RX spurious emissions requirement for non-SBFD slots.</w:t>
      </w:r>
    </w:p>
    <w:p w14:paraId="1623EA99" w14:textId="5197C923" w:rsidR="0045063C" w:rsidRDefault="0045063C" w:rsidP="0045063C">
      <w:pPr>
        <w:pStyle w:val="Proposal"/>
        <w:rPr>
          <w:lang w:val="en-GB"/>
        </w:rPr>
      </w:pPr>
      <w:bookmarkStart w:id="11" w:name="_Toc142657552"/>
      <w:r>
        <w:rPr>
          <w:lang w:val="en-GB"/>
        </w:rPr>
        <w:lastRenderedPageBreak/>
        <w:t xml:space="preserve">The receiver spurious emissions requirement is the same for both SBFD and non-SBFD </w:t>
      </w:r>
      <w:proofErr w:type="gramStart"/>
      <w:r>
        <w:rPr>
          <w:lang w:val="en-GB"/>
        </w:rPr>
        <w:t>slots</w:t>
      </w:r>
      <w:bookmarkEnd w:id="11"/>
      <w:proofErr w:type="gramEnd"/>
    </w:p>
    <w:p w14:paraId="6DA13A05" w14:textId="77777777" w:rsidR="00D918D8" w:rsidRPr="00471BE0" w:rsidRDefault="00D918D8" w:rsidP="00471BE0">
      <w:pPr>
        <w:rPr>
          <w:lang w:val="en-GB" w:eastAsia="ja-JP"/>
        </w:rPr>
      </w:pPr>
    </w:p>
    <w:p w14:paraId="59FD63D3" w14:textId="77777777" w:rsidR="00D423C6" w:rsidRPr="00C77B72" w:rsidRDefault="00D423C6" w:rsidP="00D423C6">
      <w:pPr>
        <w:rPr>
          <w:u w:val="single"/>
          <w:lang w:val="en-GB" w:eastAsia="ja-JP"/>
        </w:rPr>
      </w:pPr>
      <w:r w:rsidRPr="00C77B72">
        <w:rPr>
          <w:u w:val="single"/>
          <w:lang w:val="en-GB" w:eastAsia="ja-JP"/>
        </w:rPr>
        <w:t>TX IMD</w:t>
      </w:r>
    </w:p>
    <w:p w14:paraId="1E50F6A4" w14:textId="0A5F867E" w:rsidR="00A961A8" w:rsidRDefault="0068644D" w:rsidP="00D423C6">
      <w:pPr>
        <w:rPr>
          <w:lang w:val="en-GB" w:eastAsia="ja-JP"/>
        </w:rPr>
      </w:pPr>
      <w:r>
        <w:rPr>
          <w:lang w:val="en-GB" w:eastAsia="ja-JP"/>
        </w:rPr>
        <w:t xml:space="preserve">During RAN4#107, </w:t>
      </w:r>
      <w:r w:rsidR="00387785">
        <w:rPr>
          <w:lang w:val="en-GB" w:eastAsia="ja-JP"/>
        </w:rPr>
        <w:t xml:space="preserve">it was agreed that TX IMD requirements will be applicable during normal slots. Since the transmitter will anyhow have to be designed to meet TX IMD, and meeting TX IMD is a regulatory requirement in some regions in our view, the requirement should also be applied in SBFD slots </w:t>
      </w:r>
      <w:proofErr w:type="gramStart"/>
      <w:r w:rsidR="00387785">
        <w:rPr>
          <w:lang w:val="en-GB" w:eastAsia="ja-JP"/>
        </w:rPr>
        <w:t>in order to</w:t>
      </w:r>
      <w:proofErr w:type="gramEnd"/>
      <w:r w:rsidR="00387785">
        <w:rPr>
          <w:lang w:val="en-GB" w:eastAsia="ja-JP"/>
        </w:rPr>
        <w:t xml:space="preserve"> demonstrate that whilst operating SBFD, the transmitter will continue to meet regulation.</w:t>
      </w:r>
    </w:p>
    <w:p w14:paraId="4A783A75" w14:textId="34CE3D4B" w:rsidR="003A7D84" w:rsidRDefault="003A7D84" w:rsidP="003A7D84">
      <w:pPr>
        <w:pStyle w:val="Proposal"/>
        <w:rPr>
          <w:lang w:val="en-GB"/>
        </w:rPr>
      </w:pPr>
      <w:bookmarkStart w:id="12" w:name="_Toc142657553"/>
      <w:r>
        <w:rPr>
          <w:lang w:val="en-GB"/>
        </w:rPr>
        <w:t xml:space="preserve">The TX IMD requirement shall be met in SBFD slots, </w:t>
      </w:r>
      <w:proofErr w:type="gramStart"/>
      <w:r>
        <w:rPr>
          <w:lang w:val="en-GB"/>
        </w:rPr>
        <w:t>in order to</w:t>
      </w:r>
      <w:proofErr w:type="gramEnd"/>
      <w:r>
        <w:rPr>
          <w:lang w:val="en-GB"/>
        </w:rPr>
        <w:t xml:space="preserve"> demonstrate that the BS will continue to meet all regulation.</w:t>
      </w:r>
      <w:bookmarkEnd w:id="12"/>
    </w:p>
    <w:p w14:paraId="4CE065CC" w14:textId="5880FB8A" w:rsidR="00387785" w:rsidRDefault="00387785" w:rsidP="00D423C6">
      <w:pPr>
        <w:rPr>
          <w:lang w:val="en-GB" w:eastAsia="ja-JP"/>
        </w:rPr>
      </w:pPr>
      <w:r>
        <w:rPr>
          <w:lang w:val="en-GB" w:eastAsia="ja-JP"/>
        </w:rPr>
        <w:t xml:space="preserve">It should also be made clear that the SBFD receiver is not expected to operate </w:t>
      </w:r>
      <w:r w:rsidR="003701A9">
        <w:rPr>
          <w:lang w:val="en-GB" w:eastAsia="ja-JP"/>
        </w:rPr>
        <w:t>if a TX intermodulation interferer is applied.</w:t>
      </w:r>
    </w:p>
    <w:p w14:paraId="43569079" w14:textId="530DFFC9" w:rsidR="003A7D84" w:rsidRDefault="003A7D84" w:rsidP="003A7D84">
      <w:pPr>
        <w:pStyle w:val="Proposal"/>
        <w:rPr>
          <w:lang w:val="en-GB"/>
        </w:rPr>
      </w:pPr>
      <w:bookmarkStart w:id="13" w:name="_Toc142657554"/>
      <w:r>
        <w:rPr>
          <w:lang w:val="en-GB"/>
        </w:rPr>
        <w:t>The SBFD BS is not expected to receive in the RX sub-band during TX IMD testing.</w:t>
      </w:r>
      <w:bookmarkEnd w:id="13"/>
    </w:p>
    <w:p w14:paraId="2A5D770C" w14:textId="77777777" w:rsidR="00891861" w:rsidRDefault="00891861" w:rsidP="00471BE0">
      <w:pPr>
        <w:rPr>
          <w:lang w:val="en-GB" w:eastAsia="ja-JP"/>
        </w:rPr>
      </w:pPr>
    </w:p>
    <w:p w14:paraId="0843A1AD" w14:textId="1D483FB9" w:rsidR="00333300" w:rsidRPr="003A7D84" w:rsidRDefault="00333300" w:rsidP="00471BE0">
      <w:pPr>
        <w:rPr>
          <w:u w:val="single"/>
          <w:lang w:val="en-GB" w:eastAsia="ja-JP"/>
        </w:rPr>
      </w:pPr>
      <w:r w:rsidRPr="003A7D84">
        <w:rPr>
          <w:u w:val="single"/>
          <w:lang w:val="en-GB" w:eastAsia="ja-JP"/>
        </w:rPr>
        <w:t>Co-existence and co-location</w:t>
      </w:r>
    </w:p>
    <w:p w14:paraId="6FE6931F" w14:textId="1D593D93" w:rsidR="003701A9" w:rsidRDefault="003701A9" w:rsidP="00471BE0">
      <w:pPr>
        <w:rPr>
          <w:lang w:val="en-GB" w:eastAsia="ja-JP"/>
        </w:rPr>
      </w:pPr>
      <w:r>
        <w:rPr>
          <w:lang w:val="en-GB" w:eastAsia="ja-JP"/>
        </w:rPr>
        <w:t xml:space="preserve">Co-existence and co-location </w:t>
      </w:r>
      <w:r w:rsidR="00061070">
        <w:rPr>
          <w:lang w:val="en-GB" w:eastAsia="ja-JP"/>
        </w:rPr>
        <w:t>requirements incorporate requirements on emissions and receiver blocking. Compliance to the requirements is declared</w:t>
      </w:r>
      <w:r w:rsidR="00A772C6">
        <w:rPr>
          <w:lang w:val="en-GB" w:eastAsia="ja-JP"/>
        </w:rPr>
        <w:t xml:space="preserve">. For non-adjacent bands, the requirements enable non-synchronized operation between the bands; </w:t>
      </w:r>
      <w:proofErr w:type="gramStart"/>
      <w:r w:rsidR="00A772C6">
        <w:rPr>
          <w:lang w:val="en-GB" w:eastAsia="ja-JP"/>
        </w:rPr>
        <w:t>thus</w:t>
      </w:r>
      <w:proofErr w:type="gramEnd"/>
      <w:r w:rsidR="00A772C6">
        <w:rPr>
          <w:lang w:val="en-GB" w:eastAsia="ja-JP"/>
        </w:rPr>
        <w:t xml:space="preserve"> for these cases </w:t>
      </w:r>
      <w:r w:rsidR="00733BA8">
        <w:rPr>
          <w:lang w:val="en-GB" w:eastAsia="ja-JP"/>
        </w:rPr>
        <w:t>there is no need for any different requirement for SBFD. For adjacent bands, the requirement enables co-</w:t>
      </w:r>
      <w:r w:rsidR="00547EEA">
        <w:rPr>
          <w:lang w:val="en-GB" w:eastAsia="ja-JP"/>
        </w:rPr>
        <w:t>location</w:t>
      </w:r>
      <w:r w:rsidR="00733BA8">
        <w:rPr>
          <w:lang w:val="en-GB" w:eastAsia="ja-JP"/>
        </w:rPr>
        <w:t xml:space="preserve"> or co-existence in the same area without </w:t>
      </w:r>
      <w:r w:rsidR="00E10519">
        <w:rPr>
          <w:lang w:val="en-GB" w:eastAsia="ja-JP"/>
        </w:rPr>
        <w:t>the need to consider sites planning between the different operators and bands. Since the requirement is declared, it can be retained</w:t>
      </w:r>
      <w:r w:rsidR="004B3218">
        <w:rPr>
          <w:lang w:val="en-GB" w:eastAsia="ja-JP"/>
        </w:rPr>
        <w:t>.</w:t>
      </w:r>
    </w:p>
    <w:p w14:paraId="29B157E0" w14:textId="4855C455" w:rsidR="003A7D84" w:rsidRDefault="003A7D84" w:rsidP="003A7D84">
      <w:pPr>
        <w:pStyle w:val="Observation"/>
        <w:rPr>
          <w:lang w:val="en-GB"/>
        </w:rPr>
      </w:pPr>
      <w:bookmarkStart w:id="14" w:name="_Toc142657538"/>
      <w:r>
        <w:rPr>
          <w:lang w:val="en-GB"/>
        </w:rPr>
        <w:t xml:space="preserve">Conformance to co-existence and co-location requirements is </w:t>
      </w:r>
      <w:proofErr w:type="gramStart"/>
      <w:r>
        <w:rPr>
          <w:lang w:val="en-GB"/>
        </w:rPr>
        <w:t>declared</w:t>
      </w:r>
      <w:bookmarkEnd w:id="14"/>
      <w:proofErr w:type="gramEnd"/>
    </w:p>
    <w:p w14:paraId="180DAEAA" w14:textId="133E76B9" w:rsidR="003A7D84" w:rsidRDefault="003A7D84" w:rsidP="003A7D84">
      <w:pPr>
        <w:pStyle w:val="Observation"/>
        <w:rPr>
          <w:lang w:val="en-GB"/>
        </w:rPr>
      </w:pPr>
      <w:bookmarkStart w:id="15" w:name="_Toc142657539"/>
      <w:r>
        <w:rPr>
          <w:lang w:val="en-GB"/>
        </w:rPr>
        <w:t xml:space="preserve">Co-existence and co-location requirements are already designed to consider </w:t>
      </w:r>
      <w:r w:rsidR="00E44F92">
        <w:rPr>
          <w:lang w:val="en-GB"/>
        </w:rPr>
        <w:t xml:space="preserve">unsynchronized TDD between non-adjacent </w:t>
      </w:r>
      <w:proofErr w:type="gramStart"/>
      <w:r w:rsidR="00E44F92">
        <w:rPr>
          <w:lang w:val="en-GB"/>
        </w:rPr>
        <w:t>bands</w:t>
      </w:r>
      <w:bookmarkEnd w:id="15"/>
      <w:proofErr w:type="gramEnd"/>
    </w:p>
    <w:p w14:paraId="3F7685AC" w14:textId="5BF0B009" w:rsidR="00E44F92" w:rsidRDefault="00E44F92" w:rsidP="00E44F92">
      <w:pPr>
        <w:pStyle w:val="Proposal"/>
        <w:rPr>
          <w:lang w:val="en-GB"/>
        </w:rPr>
      </w:pPr>
      <w:bookmarkStart w:id="16" w:name="_Toc142657555"/>
      <w:r>
        <w:rPr>
          <w:lang w:val="en-GB"/>
        </w:rPr>
        <w:t>Use the same co-existence and co-location requirements (between bands) for SBFD slots as normal TDD. Conformance to these requirements remains declaration based.</w:t>
      </w:r>
      <w:bookmarkEnd w:id="16"/>
    </w:p>
    <w:p w14:paraId="50515D1A" w14:textId="77777777" w:rsidR="003701A9" w:rsidRDefault="003701A9" w:rsidP="00471BE0">
      <w:pPr>
        <w:rPr>
          <w:lang w:val="en-GB" w:eastAsia="ja-JP"/>
        </w:rPr>
      </w:pPr>
    </w:p>
    <w:p w14:paraId="00AACA22" w14:textId="54820BCC" w:rsidR="00C011D4" w:rsidRPr="00E44F92" w:rsidRDefault="00C011D4" w:rsidP="00471BE0">
      <w:pPr>
        <w:rPr>
          <w:u w:val="single"/>
          <w:lang w:val="en-GB" w:eastAsia="ja-JP"/>
        </w:rPr>
      </w:pPr>
      <w:r w:rsidRPr="00E44F92">
        <w:rPr>
          <w:u w:val="single"/>
          <w:lang w:val="en-GB" w:eastAsia="ja-JP"/>
        </w:rPr>
        <w:t>In-band blocking</w:t>
      </w:r>
    </w:p>
    <w:p w14:paraId="7BE57BA0" w14:textId="1FBD264D" w:rsidR="008868DE" w:rsidRDefault="00215D97" w:rsidP="00471BE0">
      <w:pPr>
        <w:rPr>
          <w:lang w:val="en-GB" w:eastAsia="ja-JP"/>
        </w:rPr>
      </w:pPr>
      <w:r>
        <w:rPr>
          <w:lang w:val="en-GB" w:eastAsia="ja-JP"/>
        </w:rPr>
        <w:t>Within this section, in-band blocking requirements for blockers outside of the carrier are considered</w:t>
      </w:r>
      <w:r w:rsidR="00CF31ED">
        <w:rPr>
          <w:lang w:val="en-GB" w:eastAsia="ja-JP"/>
        </w:rPr>
        <w:t>.</w:t>
      </w:r>
      <w:r w:rsidR="002055B2">
        <w:rPr>
          <w:lang w:val="en-GB" w:eastAsia="ja-JP"/>
        </w:rPr>
        <w:t xml:space="preserve"> </w:t>
      </w:r>
      <w:r w:rsidR="00A10013">
        <w:rPr>
          <w:lang w:val="en-GB" w:eastAsia="ja-JP"/>
        </w:rPr>
        <w:t xml:space="preserve"> Susceptibility to blocking</w:t>
      </w:r>
      <w:r w:rsidR="008868DE">
        <w:rPr>
          <w:lang w:val="en-GB" w:eastAsia="ja-JP"/>
        </w:rPr>
        <w:t xml:space="preserve"> from other </w:t>
      </w:r>
      <w:proofErr w:type="spellStart"/>
      <w:r w:rsidR="008868DE">
        <w:rPr>
          <w:lang w:val="en-GB" w:eastAsia="ja-JP"/>
        </w:rPr>
        <w:t>gNB</w:t>
      </w:r>
      <w:proofErr w:type="spellEnd"/>
      <w:r w:rsidR="008868DE">
        <w:rPr>
          <w:lang w:val="en-GB" w:eastAsia="ja-JP"/>
        </w:rPr>
        <w:t xml:space="preserve"> transmit sub-band within the same carrier are considered in section </w:t>
      </w:r>
      <w:r w:rsidR="00FD17AC">
        <w:rPr>
          <w:lang w:val="en-GB" w:eastAsia="ja-JP"/>
        </w:rPr>
        <w:t>2.2.</w:t>
      </w:r>
      <w:r w:rsidR="008868DE">
        <w:rPr>
          <w:lang w:val="en-GB" w:eastAsia="ja-JP"/>
        </w:rPr>
        <w:t xml:space="preserve"> </w:t>
      </w:r>
    </w:p>
    <w:p w14:paraId="624DBC90" w14:textId="2B72CBFB" w:rsidR="0061192A" w:rsidRDefault="008868DE" w:rsidP="00471BE0">
      <w:pPr>
        <w:rPr>
          <w:lang w:val="en-GB" w:eastAsia="ja-JP"/>
        </w:rPr>
      </w:pPr>
      <w:r>
        <w:rPr>
          <w:lang w:val="en-GB" w:eastAsia="ja-JP"/>
        </w:rPr>
        <w:t>Blocking requirements are designed for uplink operation where the blocking transmitters are UEs. In SBFD slots</w:t>
      </w:r>
      <w:r w:rsidR="00DD402C">
        <w:rPr>
          <w:lang w:val="en-GB" w:eastAsia="ja-JP"/>
        </w:rPr>
        <w:t xml:space="preserve">, the slots may be operating in DL, and hence the blocking interferers are other operators </w:t>
      </w:r>
      <w:proofErr w:type="spellStart"/>
      <w:r w:rsidR="00DD402C">
        <w:rPr>
          <w:lang w:val="en-GB" w:eastAsia="ja-JP"/>
        </w:rPr>
        <w:t>basestations</w:t>
      </w:r>
      <w:proofErr w:type="spellEnd"/>
      <w:r w:rsidR="00DD402C">
        <w:rPr>
          <w:lang w:val="en-GB" w:eastAsia="ja-JP"/>
        </w:rPr>
        <w:t>.</w:t>
      </w:r>
    </w:p>
    <w:p w14:paraId="6B34051E" w14:textId="12013382" w:rsidR="00125BF4" w:rsidRDefault="00125BF4" w:rsidP="00125BF4">
      <w:pPr>
        <w:pStyle w:val="Observation"/>
        <w:rPr>
          <w:lang w:val="en-GB"/>
        </w:rPr>
      </w:pPr>
      <w:bookmarkStart w:id="17" w:name="_Toc142657540"/>
      <w:r>
        <w:rPr>
          <w:lang w:val="en-GB"/>
        </w:rPr>
        <w:t>For SBFD, the RX blocking requirement is based on signal levels from the DL of other operators BS.</w:t>
      </w:r>
      <w:bookmarkEnd w:id="17"/>
    </w:p>
    <w:p w14:paraId="5329FF2F" w14:textId="77777777" w:rsidR="00125BF4" w:rsidRDefault="00125BF4" w:rsidP="00125BF4">
      <w:pPr>
        <w:pStyle w:val="Observation"/>
        <w:numPr>
          <w:ilvl w:val="0"/>
          <w:numId w:val="0"/>
        </w:numPr>
        <w:ind w:left="1701"/>
        <w:rPr>
          <w:lang w:val="en-GB"/>
        </w:rPr>
      </w:pPr>
    </w:p>
    <w:p w14:paraId="6ED09863" w14:textId="3D0644B5" w:rsidR="0061192A" w:rsidRDefault="0061192A" w:rsidP="00471BE0">
      <w:pPr>
        <w:rPr>
          <w:lang w:val="en-GB" w:eastAsia="ja-JP"/>
        </w:rPr>
      </w:pPr>
      <w:r>
        <w:rPr>
          <w:lang w:val="en-GB" w:eastAsia="ja-JP"/>
        </w:rPr>
        <w:t xml:space="preserve">Other operators </w:t>
      </w:r>
      <w:proofErr w:type="spellStart"/>
      <w:r>
        <w:rPr>
          <w:lang w:val="en-GB" w:eastAsia="ja-JP"/>
        </w:rPr>
        <w:t>basestations</w:t>
      </w:r>
      <w:proofErr w:type="spellEnd"/>
      <w:r>
        <w:rPr>
          <w:lang w:val="en-GB" w:eastAsia="ja-JP"/>
        </w:rPr>
        <w:t xml:space="preserve"> may be co-located with the </w:t>
      </w:r>
      <w:r w:rsidR="00C77B72">
        <w:rPr>
          <w:lang w:val="en-GB" w:eastAsia="ja-JP"/>
        </w:rPr>
        <w:t>SBFD BS or</w:t>
      </w:r>
      <w:r>
        <w:rPr>
          <w:lang w:val="en-GB" w:eastAsia="ja-JP"/>
        </w:rPr>
        <w:t xml:space="preserve"> may be at some distance</w:t>
      </w:r>
      <w:r w:rsidR="00F30321">
        <w:rPr>
          <w:lang w:val="en-GB" w:eastAsia="ja-JP"/>
        </w:rPr>
        <w:t xml:space="preserve">. For urban macro deployments, the pathloss to other </w:t>
      </w:r>
      <w:proofErr w:type="spellStart"/>
      <w:r w:rsidR="00E252AA">
        <w:rPr>
          <w:lang w:val="en-GB" w:eastAsia="ja-JP"/>
        </w:rPr>
        <w:t>basestations</w:t>
      </w:r>
      <w:proofErr w:type="spellEnd"/>
      <w:r w:rsidR="00E252AA">
        <w:rPr>
          <w:lang w:val="en-GB" w:eastAsia="ja-JP"/>
        </w:rPr>
        <w:t xml:space="preserve"> is likely to be </w:t>
      </w:r>
      <w:proofErr w:type="spellStart"/>
      <w:r w:rsidR="00E252AA">
        <w:rPr>
          <w:lang w:val="en-GB" w:eastAsia="ja-JP"/>
        </w:rPr>
        <w:t>LoS</w:t>
      </w:r>
      <w:proofErr w:type="spellEnd"/>
      <w:r w:rsidR="00E252AA">
        <w:rPr>
          <w:lang w:val="en-GB" w:eastAsia="ja-JP"/>
        </w:rPr>
        <w:t>, whereas for some other types of deployment it may differ.</w:t>
      </w:r>
    </w:p>
    <w:p w14:paraId="47D76659" w14:textId="53A227FE" w:rsidR="00A5121B" w:rsidRDefault="00A35F14" w:rsidP="00471BE0">
      <w:pPr>
        <w:rPr>
          <w:lang w:val="en-GB" w:eastAsia="ja-JP"/>
        </w:rPr>
      </w:pPr>
      <w:r>
        <w:rPr>
          <w:lang w:val="en-GB" w:eastAsia="ja-JP"/>
        </w:rPr>
        <w:t xml:space="preserve">There is currently no </w:t>
      </w:r>
      <w:r w:rsidR="00061AF9">
        <w:rPr>
          <w:lang w:val="en-GB" w:eastAsia="ja-JP"/>
        </w:rPr>
        <w:t xml:space="preserve">requirement for </w:t>
      </w:r>
      <w:r w:rsidR="00F929B0">
        <w:rPr>
          <w:lang w:val="en-GB" w:eastAsia="ja-JP"/>
        </w:rPr>
        <w:t>supporting co-location of non-synchronized operators in the same band</w:t>
      </w:r>
      <w:r w:rsidR="00224458">
        <w:rPr>
          <w:lang w:val="en-GB" w:eastAsia="ja-JP"/>
        </w:rPr>
        <w:t xml:space="preserve">. The nearest requirement is the FDD protection of own receiver requirement. </w:t>
      </w:r>
      <w:r w:rsidR="008B18E0">
        <w:rPr>
          <w:lang w:val="en-GB" w:eastAsia="ja-JP"/>
        </w:rPr>
        <w:t xml:space="preserve">A co-location blocking requirement </w:t>
      </w:r>
      <w:r w:rsidR="00D600B9">
        <w:rPr>
          <w:lang w:val="en-GB" w:eastAsia="ja-JP"/>
        </w:rPr>
        <w:t>could be created fo</w:t>
      </w:r>
      <w:r w:rsidR="0085012D">
        <w:rPr>
          <w:lang w:val="en-GB" w:eastAsia="ja-JP"/>
        </w:rPr>
        <w:t>r SBFD and declaration based; declaring compliance to the requirement would demonstrate sufficient RX performance to enable co-location. However, the requirement would not necessarily ensure that emissions from the co-located BS would not desensitize the SBFD receiver.</w:t>
      </w:r>
    </w:p>
    <w:p w14:paraId="06959DA2" w14:textId="56374EEB" w:rsidR="00125BF4" w:rsidRDefault="00125BF4" w:rsidP="00125BF4">
      <w:pPr>
        <w:pStyle w:val="Observation"/>
        <w:rPr>
          <w:lang w:val="en-GB"/>
        </w:rPr>
      </w:pPr>
      <w:bookmarkStart w:id="18" w:name="_Toc142657541"/>
      <w:r>
        <w:rPr>
          <w:lang w:val="en-GB"/>
        </w:rPr>
        <w:lastRenderedPageBreak/>
        <w:t>There are no requirements enabling co-location of SBFD with another operators BS. A blocking requirement considering co-located BS could be introduced, however it would not enable co-location as the other operators BS TX emissions would still badly desensitize the SBFD receiver.</w:t>
      </w:r>
      <w:bookmarkEnd w:id="18"/>
    </w:p>
    <w:p w14:paraId="5988AC75" w14:textId="44FCD77E" w:rsidR="00125BF4" w:rsidRDefault="00125BF4" w:rsidP="00125BF4">
      <w:pPr>
        <w:pStyle w:val="Observation"/>
        <w:rPr>
          <w:lang w:val="en-GB"/>
        </w:rPr>
      </w:pPr>
      <w:bookmarkStart w:id="19" w:name="_Toc142657542"/>
      <w:r>
        <w:rPr>
          <w:lang w:val="en-GB"/>
        </w:rPr>
        <w:t>Co-location of SBFD BS with other operators BS is not possible.</w:t>
      </w:r>
      <w:bookmarkEnd w:id="19"/>
    </w:p>
    <w:p w14:paraId="128D7F34" w14:textId="77777777" w:rsidR="00125BF4" w:rsidRDefault="00125BF4" w:rsidP="00471BE0">
      <w:pPr>
        <w:rPr>
          <w:lang w:val="en-GB" w:eastAsia="ja-JP"/>
        </w:rPr>
      </w:pPr>
    </w:p>
    <w:p w14:paraId="2FE84EDE" w14:textId="0FB7DC17" w:rsidR="0085012D" w:rsidRDefault="00352F30" w:rsidP="00471BE0">
      <w:pPr>
        <w:rPr>
          <w:lang w:val="en-GB" w:eastAsia="ja-JP"/>
        </w:rPr>
      </w:pPr>
      <w:r>
        <w:rPr>
          <w:lang w:val="en-GB" w:eastAsia="ja-JP"/>
        </w:rPr>
        <w:t xml:space="preserve">For </w:t>
      </w:r>
      <w:proofErr w:type="spellStart"/>
      <w:proofErr w:type="gramStart"/>
      <w:r w:rsidR="00CB2968">
        <w:rPr>
          <w:lang w:val="en-GB" w:eastAsia="ja-JP"/>
        </w:rPr>
        <w:t>non co-</w:t>
      </w:r>
      <w:proofErr w:type="gramEnd"/>
      <w:r w:rsidR="00CB2968">
        <w:rPr>
          <w:lang w:val="en-GB" w:eastAsia="ja-JP"/>
        </w:rPr>
        <w:t>located</w:t>
      </w:r>
      <w:proofErr w:type="spellEnd"/>
      <w:r w:rsidR="00CB2968">
        <w:rPr>
          <w:lang w:val="en-GB" w:eastAsia="ja-JP"/>
        </w:rPr>
        <w:t xml:space="preserve"> blocking, further study is needed to determine the expected blocker levels </w:t>
      </w:r>
      <w:r w:rsidR="00AA3682">
        <w:rPr>
          <w:lang w:val="en-GB" w:eastAsia="ja-JP"/>
        </w:rPr>
        <w:t>due to other operator site BS during SBFD slots.</w:t>
      </w:r>
      <w:r w:rsidR="00FB77BB">
        <w:rPr>
          <w:lang w:val="en-GB" w:eastAsia="ja-JP"/>
        </w:rPr>
        <w:t xml:space="preserve"> One possibility is to define the blocking requirement based on the RX power when the emissions level from the other operators BS is low enough to avoid desensitization.</w:t>
      </w:r>
    </w:p>
    <w:p w14:paraId="113E33CD" w14:textId="72C52986" w:rsidR="00FB77BB" w:rsidRDefault="00FB77BB" w:rsidP="00FB77BB">
      <w:pPr>
        <w:pStyle w:val="Proposal"/>
        <w:rPr>
          <w:lang w:val="en-GB"/>
        </w:rPr>
      </w:pPr>
      <w:bookmarkStart w:id="20" w:name="_Toc142657556"/>
      <w:r>
        <w:rPr>
          <w:lang w:val="en-GB"/>
        </w:rPr>
        <w:t>Study further the DL signal level from other operator BS to assume when defining the SBFD RX blocking requirement.</w:t>
      </w:r>
      <w:bookmarkEnd w:id="20"/>
    </w:p>
    <w:p w14:paraId="290A183B" w14:textId="77777777" w:rsidR="004B3218" w:rsidRDefault="004B3218" w:rsidP="00471BE0">
      <w:pPr>
        <w:rPr>
          <w:lang w:val="en-GB" w:eastAsia="ja-JP"/>
        </w:rPr>
      </w:pPr>
    </w:p>
    <w:p w14:paraId="1C6011EC" w14:textId="70BF48E2" w:rsidR="00F93CBE" w:rsidRPr="00FB77BB" w:rsidRDefault="00F93CBE" w:rsidP="00471BE0">
      <w:pPr>
        <w:rPr>
          <w:u w:val="single"/>
          <w:lang w:val="en-GB" w:eastAsia="ja-JP"/>
        </w:rPr>
      </w:pPr>
      <w:r w:rsidRPr="00FB77BB">
        <w:rPr>
          <w:u w:val="single"/>
          <w:lang w:val="en-GB" w:eastAsia="ja-JP"/>
        </w:rPr>
        <w:t>Out-of-band blocking</w:t>
      </w:r>
    </w:p>
    <w:p w14:paraId="23C6E510" w14:textId="65B45100" w:rsidR="00AA3682" w:rsidRDefault="00AA3682" w:rsidP="00471BE0">
      <w:pPr>
        <w:rPr>
          <w:lang w:val="en-GB" w:eastAsia="ja-JP"/>
        </w:rPr>
      </w:pPr>
      <w:r>
        <w:rPr>
          <w:lang w:val="en-GB" w:eastAsia="ja-JP"/>
        </w:rPr>
        <w:t xml:space="preserve">Out of band blocking is likely to be from </w:t>
      </w:r>
      <w:r w:rsidR="00825D2E">
        <w:rPr>
          <w:lang w:val="en-GB" w:eastAsia="ja-JP"/>
        </w:rPr>
        <w:t>non-synchronized systems and is not likely to differ between SBFD and non-SBFD slots. Thus, the out of band blocking requirement can remain the same for SBFD.</w:t>
      </w:r>
    </w:p>
    <w:p w14:paraId="2117F20B" w14:textId="337AAA6A" w:rsidR="00FB77BB" w:rsidRDefault="008461DC" w:rsidP="00FB77BB">
      <w:pPr>
        <w:pStyle w:val="Proposal"/>
        <w:rPr>
          <w:lang w:val="en-GB"/>
        </w:rPr>
      </w:pPr>
      <w:bookmarkStart w:id="21" w:name="_Toc142657557"/>
      <w:r>
        <w:rPr>
          <w:lang w:val="en-GB"/>
        </w:rPr>
        <w:t xml:space="preserve">Apply the same OOB blocking requirement </w:t>
      </w:r>
      <w:r w:rsidR="00B67050">
        <w:rPr>
          <w:lang w:val="en-GB"/>
        </w:rPr>
        <w:t>in SBFD slots as for normal TDD.</w:t>
      </w:r>
      <w:bookmarkEnd w:id="21"/>
    </w:p>
    <w:p w14:paraId="455F3EE0" w14:textId="77777777" w:rsidR="00825D2E" w:rsidRDefault="00825D2E" w:rsidP="00471BE0">
      <w:pPr>
        <w:rPr>
          <w:lang w:val="en-GB" w:eastAsia="ja-JP"/>
        </w:rPr>
      </w:pPr>
    </w:p>
    <w:p w14:paraId="4ADE98C0" w14:textId="65ECCDBF" w:rsidR="00E75437" w:rsidRPr="00B67050" w:rsidRDefault="00E75437" w:rsidP="00471BE0">
      <w:pPr>
        <w:rPr>
          <w:u w:val="single"/>
          <w:lang w:val="en-GB" w:eastAsia="ja-JP"/>
        </w:rPr>
      </w:pPr>
      <w:r w:rsidRPr="00B67050">
        <w:rPr>
          <w:u w:val="single"/>
          <w:lang w:val="en-GB" w:eastAsia="ja-JP"/>
        </w:rPr>
        <w:t xml:space="preserve">RX intermodulation considering </w:t>
      </w:r>
      <w:proofErr w:type="gramStart"/>
      <w:r w:rsidRPr="00B67050">
        <w:rPr>
          <w:u w:val="single"/>
          <w:lang w:val="en-GB" w:eastAsia="ja-JP"/>
        </w:rPr>
        <w:t>downlink</w:t>
      </w:r>
      <w:proofErr w:type="gramEnd"/>
    </w:p>
    <w:p w14:paraId="67C96F04" w14:textId="56324702" w:rsidR="00825D2E" w:rsidRDefault="00B67050" w:rsidP="00471BE0">
      <w:pPr>
        <w:rPr>
          <w:lang w:val="en-GB" w:eastAsia="ja-JP"/>
        </w:rPr>
      </w:pPr>
      <w:r>
        <w:rPr>
          <w:lang w:val="en-GB" w:eastAsia="ja-JP"/>
        </w:rPr>
        <w:t xml:space="preserve">The RX intermodulation requirement for </w:t>
      </w:r>
      <w:r w:rsidR="0064187A">
        <w:rPr>
          <w:lang w:val="en-GB" w:eastAsia="ja-JP"/>
        </w:rPr>
        <w:t xml:space="preserve">conventional TDD consists of </w:t>
      </w:r>
      <w:r w:rsidR="00713043">
        <w:rPr>
          <w:lang w:val="en-GB" w:eastAsia="ja-JP"/>
        </w:rPr>
        <w:t xml:space="preserve">a </w:t>
      </w:r>
      <w:r w:rsidR="008D67FB">
        <w:rPr>
          <w:lang w:val="en-GB" w:eastAsia="ja-JP"/>
        </w:rPr>
        <w:t xml:space="preserve">CW </w:t>
      </w:r>
      <w:r w:rsidR="003F77A5">
        <w:rPr>
          <w:lang w:val="en-GB" w:eastAsia="ja-JP"/>
        </w:rPr>
        <w:t xml:space="preserve">signal and a modulated signal that </w:t>
      </w:r>
      <w:proofErr w:type="gramStart"/>
      <w:r w:rsidR="003F77A5">
        <w:rPr>
          <w:lang w:val="en-GB" w:eastAsia="ja-JP"/>
        </w:rPr>
        <w:t>are located in</w:t>
      </w:r>
      <w:proofErr w:type="gramEnd"/>
      <w:r w:rsidR="003F77A5">
        <w:rPr>
          <w:lang w:val="en-GB" w:eastAsia="ja-JP"/>
        </w:rPr>
        <w:t xml:space="preserve"> frequency such that their intermodulation produce falls within the receiver frequency range. The RX intermodulation sets a minimum requirement on receiver linearity.</w:t>
      </w:r>
    </w:p>
    <w:p w14:paraId="61DAECB2" w14:textId="6F301FD1" w:rsidR="003F77A5" w:rsidRDefault="003F77A5" w:rsidP="00471BE0">
      <w:pPr>
        <w:rPr>
          <w:lang w:val="en-GB" w:eastAsia="ja-JP"/>
        </w:rPr>
      </w:pPr>
      <w:r>
        <w:rPr>
          <w:lang w:val="en-GB" w:eastAsia="ja-JP"/>
        </w:rPr>
        <w:t xml:space="preserve">For SBFD, it is possible that a single signal can </w:t>
      </w:r>
      <w:proofErr w:type="spellStart"/>
      <w:r>
        <w:rPr>
          <w:lang w:val="en-GB" w:eastAsia="ja-JP"/>
        </w:rPr>
        <w:t>intermodulate</w:t>
      </w:r>
      <w:proofErr w:type="spellEnd"/>
      <w:r>
        <w:rPr>
          <w:lang w:val="en-GB" w:eastAsia="ja-JP"/>
        </w:rPr>
        <w:t xml:space="preserve"> in the receiver with the TX sub-band TX signal. It is necessary to supress such intermodulation sufficiently that the receiver is not desensitized.</w:t>
      </w:r>
    </w:p>
    <w:p w14:paraId="24418BD7" w14:textId="425F0052" w:rsidR="003F77A5" w:rsidRDefault="003F77A5" w:rsidP="00471BE0">
      <w:pPr>
        <w:rPr>
          <w:lang w:val="en-GB" w:eastAsia="ja-JP"/>
        </w:rPr>
      </w:pPr>
      <w:r>
        <w:rPr>
          <w:lang w:val="en-GB" w:eastAsia="ja-JP"/>
        </w:rPr>
        <w:t>The scenarios for 2 input signals and 1 input signal + TX sub-band may need different levels of receiver linearity to meet, depending on the level of the TX sub-band signal in the receiver.</w:t>
      </w:r>
    </w:p>
    <w:p w14:paraId="519C29EC" w14:textId="517BFC31" w:rsidR="009A7C3B" w:rsidRDefault="009A7C3B" w:rsidP="00471BE0">
      <w:pPr>
        <w:rPr>
          <w:lang w:val="en-GB" w:eastAsia="ja-JP"/>
        </w:rPr>
      </w:pPr>
      <w:r>
        <w:rPr>
          <w:lang w:val="en-GB" w:eastAsia="ja-JP"/>
        </w:rPr>
        <w:t>For the wide area SBFD scenario, as described in [</w:t>
      </w:r>
      <w:r w:rsidR="00A5490F">
        <w:rPr>
          <w:lang w:val="en-GB" w:eastAsia="ja-JP"/>
        </w:rPr>
        <w:t>1</w:t>
      </w:r>
      <w:r>
        <w:rPr>
          <w:lang w:val="en-GB" w:eastAsia="ja-JP"/>
        </w:rPr>
        <w:t xml:space="preserve">], an unrealistic receiver performance would be </w:t>
      </w:r>
      <w:proofErr w:type="gramStart"/>
      <w:r>
        <w:rPr>
          <w:lang w:val="en-GB" w:eastAsia="ja-JP"/>
        </w:rPr>
        <w:t>needed</w:t>
      </w:r>
      <w:proofErr w:type="gramEnd"/>
      <w:r>
        <w:rPr>
          <w:lang w:val="en-GB" w:eastAsia="ja-JP"/>
        </w:rPr>
        <w:t xml:space="preserve"> and the receiver would anyhow be blocked. Even if the receiver would meet the requirement for SBFD self-interference submission then it would need to have a much higher linearity than is needed to meet RX IM.</w:t>
      </w:r>
    </w:p>
    <w:p w14:paraId="276FBAC8" w14:textId="0291A4A9" w:rsidR="009A7C3B" w:rsidRDefault="009A7C3B" w:rsidP="00471BE0">
      <w:pPr>
        <w:rPr>
          <w:lang w:val="en-GB" w:eastAsia="ja-JP"/>
        </w:rPr>
      </w:pPr>
      <w:r>
        <w:rPr>
          <w:lang w:val="en-GB" w:eastAsia="ja-JP"/>
        </w:rPr>
        <w:t xml:space="preserve">For MR and LA BS, the self-interference level at the receiver is </w:t>
      </w:r>
      <w:proofErr w:type="gramStart"/>
      <w:r>
        <w:rPr>
          <w:lang w:val="en-GB" w:eastAsia="ja-JP"/>
        </w:rPr>
        <w:t>similar to</w:t>
      </w:r>
      <w:proofErr w:type="gramEnd"/>
      <w:r>
        <w:rPr>
          <w:lang w:val="en-GB" w:eastAsia="ja-JP"/>
        </w:rPr>
        <w:t xml:space="preserve"> the level of the RX IM requirement signals. Thus, in principle meeting the RX IM requirement as stated would be sufficient to demonstrate linearity performance. Meeting a requirement based on a signal input signal placed to cause IM with the TX sub-band would need a similar level of linearity, but if the BS would have lower than maximum rated power then the TX sub-band signal would be lower than the RX IM signal and the requirement would be less stringent.</w:t>
      </w:r>
    </w:p>
    <w:p w14:paraId="28669CE5" w14:textId="65714B3E" w:rsidR="009A7C3B" w:rsidRDefault="009A7C3B" w:rsidP="00471BE0">
      <w:pPr>
        <w:rPr>
          <w:lang w:val="en-GB" w:eastAsia="ja-JP"/>
        </w:rPr>
      </w:pPr>
      <w:r>
        <w:rPr>
          <w:lang w:val="en-GB" w:eastAsia="ja-JP"/>
        </w:rPr>
        <w:t>Thus, in our view, the RX IM requirement should be retained to ensure RX linearity performance. A requirement based on a single input signal causing IM with the TX sub-band could also be introduced to ensure additional robustness, although the necessity of this may be worthy of further investigation. Such a requirement may anyhow be covered by the RX blocking requirement for SBFD slots.</w:t>
      </w:r>
    </w:p>
    <w:p w14:paraId="46607DF6" w14:textId="55A5E12F" w:rsidR="009A7C3B" w:rsidRDefault="009A7C3B" w:rsidP="009A7C3B">
      <w:pPr>
        <w:pStyle w:val="Proposal"/>
        <w:rPr>
          <w:lang w:val="en-GB"/>
        </w:rPr>
      </w:pPr>
      <w:bookmarkStart w:id="22" w:name="_Toc142657558"/>
      <w:r>
        <w:rPr>
          <w:lang w:val="en-GB"/>
        </w:rPr>
        <w:t xml:space="preserve">Apply the RX IM requirement as currently defined in 38.104 in SBFD </w:t>
      </w:r>
      <w:proofErr w:type="gramStart"/>
      <w:r>
        <w:rPr>
          <w:lang w:val="en-GB"/>
        </w:rPr>
        <w:t>slots</w:t>
      </w:r>
      <w:bookmarkEnd w:id="22"/>
      <w:proofErr w:type="gramEnd"/>
    </w:p>
    <w:p w14:paraId="57BCAECD" w14:textId="229DB65E" w:rsidR="009A7C3B" w:rsidRDefault="009A7C3B" w:rsidP="009A7C3B">
      <w:pPr>
        <w:pStyle w:val="Proposal"/>
        <w:rPr>
          <w:lang w:val="en-GB"/>
        </w:rPr>
      </w:pPr>
      <w:bookmarkStart w:id="23" w:name="_Toc142657559"/>
      <w:r>
        <w:rPr>
          <w:lang w:val="en-GB"/>
        </w:rPr>
        <w:t>Investigate whether an additional requirement based on a single input signal placed to cause IM with the RX sub-band provides any additional robustness, and whether such a requirement is anyhow implicitly captured by the SBFD RX blocking requirement.</w:t>
      </w:r>
      <w:bookmarkEnd w:id="23"/>
    </w:p>
    <w:p w14:paraId="176A0A65" w14:textId="005FF321" w:rsidR="009A7C3B" w:rsidRDefault="009A7C3B" w:rsidP="009A7C3B">
      <w:pPr>
        <w:pStyle w:val="Proposal"/>
        <w:numPr>
          <w:ilvl w:val="0"/>
          <w:numId w:val="0"/>
        </w:numPr>
        <w:ind w:left="1701" w:hanging="1701"/>
        <w:rPr>
          <w:lang w:val="en-GB"/>
        </w:rPr>
      </w:pPr>
    </w:p>
    <w:p w14:paraId="3879E8F8" w14:textId="77777777" w:rsidR="00C473A5" w:rsidRDefault="00C473A5" w:rsidP="00CE0424">
      <w:pPr>
        <w:pStyle w:val="Heading1"/>
        <w:sectPr w:rsidR="00C473A5" w:rsidSect="009A7C3B">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48930EA" w14:textId="702962E0" w:rsidR="00B26BC8"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2657537" w:history="1">
        <w:r w:rsidR="00B26BC8" w:rsidRPr="00E16901">
          <w:rPr>
            <w:rStyle w:val="Hyperlink"/>
            <w:noProof/>
            <w:lang w:val="en-GB"/>
          </w:rPr>
          <w:t>Observation 1</w:t>
        </w:r>
        <w:r w:rsidR="00B26BC8">
          <w:rPr>
            <w:rFonts w:asciiTheme="minorHAnsi" w:eastAsiaTheme="minorEastAsia" w:hAnsiTheme="minorHAnsi"/>
            <w:b w:val="0"/>
            <w:noProof/>
            <w:sz w:val="22"/>
            <w:lang w:val="en-SE" w:eastAsia="en-SE"/>
          </w:rPr>
          <w:tab/>
        </w:r>
        <w:r w:rsidR="00B26BC8" w:rsidRPr="00E16901">
          <w:rPr>
            <w:rStyle w:val="Hyperlink"/>
            <w:noProof/>
            <w:lang w:val="en-GB"/>
          </w:rPr>
          <w:t>The same considerations on inter-site interference due to switching occur for SBFD resources when switched between TX/RX as when the whole slot is switched.</w:t>
        </w:r>
      </w:hyperlink>
    </w:p>
    <w:p w14:paraId="7E266C74" w14:textId="1BEAF273"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38" w:history="1">
        <w:r w:rsidRPr="00E16901">
          <w:rPr>
            <w:rStyle w:val="Hyperlink"/>
            <w:noProof/>
            <w:lang w:val="en-GB"/>
          </w:rPr>
          <w:t>Observation 2</w:t>
        </w:r>
        <w:r>
          <w:rPr>
            <w:rFonts w:asciiTheme="minorHAnsi" w:eastAsiaTheme="minorEastAsia" w:hAnsiTheme="minorHAnsi"/>
            <w:b w:val="0"/>
            <w:noProof/>
            <w:sz w:val="22"/>
            <w:lang w:val="en-SE" w:eastAsia="en-SE"/>
          </w:rPr>
          <w:tab/>
        </w:r>
        <w:r w:rsidRPr="00E16901">
          <w:rPr>
            <w:rStyle w:val="Hyperlink"/>
            <w:noProof/>
            <w:lang w:val="en-GB"/>
          </w:rPr>
          <w:t>Conformance to co-existence and co-location requirements is declared</w:t>
        </w:r>
      </w:hyperlink>
    </w:p>
    <w:p w14:paraId="231B8A1D" w14:textId="570AC7D5"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39" w:history="1">
        <w:r w:rsidRPr="00E16901">
          <w:rPr>
            <w:rStyle w:val="Hyperlink"/>
            <w:noProof/>
            <w:lang w:val="en-GB"/>
          </w:rPr>
          <w:t>Observation 3</w:t>
        </w:r>
        <w:r>
          <w:rPr>
            <w:rFonts w:asciiTheme="minorHAnsi" w:eastAsiaTheme="minorEastAsia" w:hAnsiTheme="minorHAnsi"/>
            <w:b w:val="0"/>
            <w:noProof/>
            <w:sz w:val="22"/>
            <w:lang w:val="en-SE" w:eastAsia="en-SE"/>
          </w:rPr>
          <w:tab/>
        </w:r>
        <w:r w:rsidRPr="00E16901">
          <w:rPr>
            <w:rStyle w:val="Hyperlink"/>
            <w:noProof/>
            <w:lang w:val="en-GB"/>
          </w:rPr>
          <w:t>Co-existence and co-location requirements are already designed to consider unsynchronized TDD between non-adjacent bands</w:t>
        </w:r>
      </w:hyperlink>
    </w:p>
    <w:p w14:paraId="728E4AA1" w14:textId="67032E7A"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40" w:history="1">
        <w:r w:rsidRPr="00E16901">
          <w:rPr>
            <w:rStyle w:val="Hyperlink"/>
            <w:noProof/>
            <w:lang w:val="en-GB"/>
          </w:rPr>
          <w:t>Observation 4</w:t>
        </w:r>
        <w:r>
          <w:rPr>
            <w:rFonts w:asciiTheme="minorHAnsi" w:eastAsiaTheme="minorEastAsia" w:hAnsiTheme="minorHAnsi"/>
            <w:b w:val="0"/>
            <w:noProof/>
            <w:sz w:val="22"/>
            <w:lang w:val="en-SE" w:eastAsia="en-SE"/>
          </w:rPr>
          <w:tab/>
        </w:r>
        <w:r w:rsidRPr="00E16901">
          <w:rPr>
            <w:rStyle w:val="Hyperlink"/>
            <w:noProof/>
            <w:lang w:val="en-GB"/>
          </w:rPr>
          <w:t>For SBFD, the RX blocking requirement is based on signal levels from the DL of other operators BS.</w:t>
        </w:r>
      </w:hyperlink>
    </w:p>
    <w:p w14:paraId="57D2095C" w14:textId="23675199"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41" w:history="1">
        <w:r w:rsidRPr="00E16901">
          <w:rPr>
            <w:rStyle w:val="Hyperlink"/>
            <w:noProof/>
            <w:lang w:val="en-GB"/>
          </w:rPr>
          <w:t>Observation 5</w:t>
        </w:r>
        <w:r>
          <w:rPr>
            <w:rFonts w:asciiTheme="minorHAnsi" w:eastAsiaTheme="minorEastAsia" w:hAnsiTheme="minorHAnsi"/>
            <w:b w:val="0"/>
            <w:noProof/>
            <w:sz w:val="22"/>
            <w:lang w:val="en-SE" w:eastAsia="en-SE"/>
          </w:rPr>
          <w:tab/>
        </w:r>
        <w:r w:rsidRPr="00E16901">
          <w:rPr>
            <w:rStyle w:val="Hyperlink"/>
            <w:noProof/>
            <w:lang w:val="en-GB"/>
          </w:rPr>
          <w:t>There are no requirements enabling co-location of SBFD with another operators BS. A blocking requirement considering co-located BS could be introduced, however it would not enable co-location as the other operators BS TX emissions would still badly desensitize the SBFD receiver.</w:t>
        </w:r>
      </w:hyperlink>
    </w:p>
    <w:p w14:paraId="2FBDE677" w14:textId="4824B835"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42" w:history="1">
        <w:r w:rsidRPr="00E16901">
          <w:rPr>
            <w:rStyle w:val="Hyperlink"/>
            <w:noProof/>
            <w:lang w:val="en-GB"/>
          </w:rPr>
          <w:t>Observation 6</w:t>
        </w:r>
        <w:r>
          <w:rPr>
            <w:rFonts w:asciiTheme="minorHAnsi" w:eastAsiaTheme="minorEastAsia" w:hAnsiTheme="minorHAnsi"/>
            <w:b w:val="0"/>
            <w:noProof/>
            <w:sz w:val="22"/>
            <w:lang w:val="en-SE" w:eastAsia="en-SE"/>
          </w:rPr>
          <w:tab/>
        </w:r>
        <w:r w:rsidRPr="00E16901">
          <w:rPr>
            <w:rStyle w:val="Hyperlink"/>
            <w:noProof/>
            <w:lang w:val="en-GB"/>
          </w:rPr>
          <w:t>Co-location of SBFD BS with other operators BS is not possible.</w:t>
        </w:r>
      </w:hyperlink>
    </w:p>
    <w:p w14:paraId="5F69EC0F" w14:textId="233F271E"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04951F6" w14:textId="074A92D3" w:rsidR="00B26BC8"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2657543" w:history="1">
        <w:r w:rsidR="00B26BC8" w:rsidRPr="006200C8">
          <w:rPr>
            <w:rStyle w:val="Hyperlink"/>
            <w:noProof/>
            <w:lang w:val="en-GB"/>
          </w:rPr>
          <w:t>Proposal 1</w:t>
        </w:r>
        <w:r w:rsidR="00B26BC8">
          <w:rPr>
            <w:rFonts w:asciiTheme="minorHAnsi" w:eastAsiaTheme="minorEastAsia" w:hAnsiTheme="minorHAnsi"/>
            <w:b w:val="0"/>
            <w:noProof/>
            <w:sz w:val="22"/>
            <w:lang w:val="en-SE" w:eastAsia="en-SE"/>
          </w:rPr>
          <w:tab/>
        </w:r>
        <w:r w:rsidR="00B26BC8" w:rsidRPr="006200C8">
          <w:rPr>
            <w:rStyle w:val="Hyperlink"/>
            <w:noProof/>
            <w:lang w:val="en-GB"/>
          </w:rPr>
          <w:t>Define a requirement on inter sub-band leakage ratio</w:t>
        </w:r>
      </w:hyperlink>
    </w:p>
    <w:p w14:paraId="57DA1F1C" w14:textId="42DF38F9"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44" w:history="1">
        <w:r w:rsidRPr="006200C8">
          <w:rPr>
            <w:rStyle w:val="Hyperlink"/>
            <w:noProof/>
            <w:lang w:val="en-GB"/>
          </w:rPr>
          <w:t>Proposal 2</w:t>
        </w:r>
        <w:r>
          <w:rPr>
            <w:rFonts w:asciiTheme="minorHAnsi" w:eastAsiaTheme="minorEastAsia" w:hAnsiTheme="minorHAnsi"/>
            <w:b w:val="0"/>
            <w:noProof/>
            <w:sz w:val="22"/>
            <w:lang w:val="en-SE" w:eastAsia="en-SE"/>
          </w:rPr>
          <w:tab/>
        </w:r>
        <w:r w:rsidRPr="006200C8">
          <w:rPr>
            <w:rStyle w:val="Hyperlink"/>
            <w:noProof/>
            <w:lang w:val="en-GB"/>
          </w:rPr>
          <w:t>Consider a requirement on the absolute level of emissions in the RX sub-band</w:t>
        </w:r>
      </w:hyperlink>
    </w:p>
    <w:p w14:paraId="65E85FB8" w14:textId="029041A6"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45" w:history="1">
        <w:r w:rsidRPr="006200C8">
          <w:rPr>
            <w:rStyle w:val="Hyperlink"/>
            <w:noProof/>
            <w:lang w:val="en-GB"/>
          </w:rPr>
          <w:t>Proposal 3</w:t>
        </w:r>
        <w:r>
          <w:rPr>
            <w:rFonts w:asciiTheme="minorHAnsi" w:eastAsiaTheme="minorEastAsia" w:hAnsiTheme="minorHAnsi"/>
            <w:b w:val="0"/>
            <w:noProof/>
            <w:sz w:val="22"/>
            <w:lang w:val="en-SE" w:eastAsia="en-SE"/>
          </w:rPr>
          <w:tab/>
        </w:r>
        <w:r w:rsidRPr="006200C8">
          <w:rPr>
            <w:rStyle w:val="Hyperlink"/>
            <w:noProof/>
            <w:lang w:val="en-GB"/>
          </w:rPr>
          <w:t>Define an inter-subband selectivity requirement.</w:t>
        </w:r>
      </w:hyperlink>
    </w:p>
    <w:p w14:paraId="1EACFAED" w14:textId="0F47AA4C"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46" w:history="1">
        <w:r w:rsidRPr="006200C8">
          <w:rPr>
            <w:rStyle w:val="Hyperlink"/>
            <w:noProof/>
            <w:lang w:val="en-GB"/>
          </w:rPr>
          <w:t>Proposal 4</w:t>
        </w:r>
        <w:r>
          <w:rPr>
            <w:rFonts w:asciiTheme="minorHAnsi" w:eastAsiaTheme="minorEastAsia" w:hAnsiTheme="minorHAnsi"/>
            <w:b w:val="0"/>
            <w:noProof/>
            <w:sz w:val="22"/>
            <w:lang w:val="en-SE" w:eastAsia="en-SE"/>
          </w:rPr>
          <w:tab/>
        </w:r>
        <w:r w:rsidRPr="006200C8">
          <w:rPr>
            <w:rStyle w:val="Hyperlink"/>
            <w:noProof/>
            <w:lang w:val="en-GB"/>
          </w:rPr>
          <w:t>The requirements for EVM and TAE in SBFD slots can be the same as for normal TDD TX slots.</w:t>
        </w:r>
      </w:hyperlink>
    </w:p>
    <w:p w14:paraId="6D230AD8" w14:textId="458DA0D1"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47" w:history="1">
        <w:r w:rsidRPr="006200C8">
          <w:rPr>
            <w:rStyle w:val="Hyperlink"/>
            <w:noProof/>
            <w:lang w:val="en-GB"/>
          </w:rPr>
          <w:t>Proposal 5</w:t>
        </w:r>
        <w:r>
          <w:rPr>
            <w:rFonts w:asciiTheme="minorHAnsi" w:eastAsiaTheme="minorEastAsia" w:hAnsiTheme="minorHAnsi"/>
            <w:b w:val="0"/>
            <w:noProof/>
            <w:sz w:val="22"/>
            <w:lang w:val="en-SE" w:eastAsia="en-SE"/>
          </w:rPr>
          <w:tab/>
        </w:r>
        <w:r w:rsidRPr="006200C8">
          <w:rPr>
            <w:rStyle w:val="Hyperlink"/>
            <w:noProof/>
            <w:lang w:val="en-GB"/>
          </w:rPr>
          <w:t>Apply the TDD switching time and off level requirement to SBFD RBs when they are switched between TX and RX.</w:t>
        </w:r>
      </w:hyperlink>
    </w:p>
    <w:p w14:paraId="7463FBDF" w14:textId="14DBE504"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48" w:history="1">
        <w:r w:rsidRPr="006200C8">
          <w:rPr>
            <w:rStyle w:val="Hyperlink"/>
            <w:noProof/>
            <w:lang w:val="en-GB"/>
          </w:rPr>
          <w:t>Proposal 6</w:t>
        </w:r>
        <w:r>
          <w:rPr>
            <w:rFonts w:asciiTheme="minorHAnsi" w:eastAsiaTheme="minorEastAsia" w:hAnsiTheme="minorHAnsi"/>
            <w:b w:val="0"/>
            <w:noProof/>
            <w:sz w:val="22"/>
            <w:lang w:val="en-SE" w:eastAsia="en-SE"/>
          </w:rPr>
          <w:tab/>
        </w:r>
        <w:r w:rsidRPr="006200C8">
          <w:rPr>
            <w:rStyle w:val="Hyperlink"/>
            <w:noProof/>
            <w:lang w:val="en-GB"/>
          </w:rPr>
          <w:t>Define the total power dynamic range requirement for SBFD slots as the range from declared rated power for SBFD slots to the power level for a single RB for non-SBFD slots.</w:t>
        </w:r>
      </w:hyperlink>
    </w:p>
    <w:p w14:paraId="3AC2A082" w14:textId="7BD12775"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49" w:history="1">
        <w:r w:rsidRPr="006200C8">
          <w:rPr>
            <w:rStyle w:val="Hyperlink"/>
            <w:noProof/>
            <w:lang w:val="en-GB"/>
          </w:rPr>
          <w:t>Proposal 7</w:t>
        </w:r>
        <w:r>
          <w:rPr>
            <w:rFonts w:asciiTheme="minorHAnsi" w:eastAsiaTheme="minorEastAsia" w:hAnsiTheme="minorHAnsi"/>
            <w:b w:val="0"/>
            <w:noProof/>
            <w:sz w:val="22"/>
            <w:lang w:val="en-SE" w:eastAsia="en-SE"/>
          </w:rPr>
          <w:tab/>
        </w:r>
        <w:r w:rsidRPr="006200C8">
          <w:rPr>
            <w:rStyle w:val="Hyperlink"/>
            <w:noProof/>
            <w:lang w:val="en-GB"/>
          </w:rPr>
          <w:t>Define Occupied Bandwidth based on the total carrier in SBFD slots.</w:t>
        </w:r>
      </w:hyperlink>
    </w:p>
    <w:p w14:paraId="579476DD" w14:textId="36FEFDAD"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50" w:history="1">
        <w:r w:rsidRPr="006200C8">
          <w:rPr>
            <w:rStyle w:val="Hyperlink"/>
            <w:noProof/>
            <w:lang w:val="en-GB"/>
          </w:rPr>
          <w:t>Proposal 8</w:t>
        </w:r>
        <w:r>
          <w:rPr>
            <w:rFonts w:asciiTheme="minorHAnsi" w:eastAsiaTheme="minorEastAsia" w:hAnsiTheme="minorHAnsi"/>
            <w:b w:val="0"/>
            <w:noProof/>
            <w:sz w:val="22"/>
            <w:lang w:val="en-SE" w:eastAsia="en-SE"/>
          </w:rPr>
          <w:tab/>
        </w:r>
        <w:r w:rsidRPr="006200C8">
          <w:rPr>
            <w:rStyle w:val="Hyperlink"/>
            <w:noProof/>
            <w:lang w:val="en-GB"/>
          </w:rPr>
          <w:t>The RF bandwidth edge from which OBUE is defined is the edge of the carrier (same for both SBFD and non-SBFD slots).</w:t>
        </w:r>
      </w:hyperlink>
    </w:p>
    <w:p w14:paraId="75A0DBBE" w14:textId="688E07EA"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51" w:history="1">
        <w:r w:rsidRPr="006200C8">
          <w:rPr>
            <w:rStyle w:val="Hyperlink"/>
            <w:noProof/>
            <w:lang w:val="en-GB"/>
          </w:rPr>
          <w:t>Proposal 9</w:t>
        </w:r>
        <w:r>
          <w:rPr>
            <w:rFonts w:asciiTheme="minorHAnsi" w:eastAsiaTheme="minorEastAsia" w:hAnsiTheme="minorHAnsi"/>
            <w:b w:val="0"/>
            <w:noProof/>
            <w:sz w:val="22"/>
            <w:lang w:val="en-SE" w:eastAsia="en-SE"/>
          </w:rPr>
          <w:tab/>
        </w:r>
        <w:r w:rsidRPr="006200C8">
          <w:rPr>
            <w:rStyle w:val="Hyperlink"/>
            <w:noProof/>
            <w:lang w:val="en-GB"/>
          </w:rPr>
          <w:t>The transmitter spurious emissions requirement is the same for both SBFD and non-SBFD slots</w:t>
        </w:r>
      </w:hyperlink>
    </w:p>
    <w:p w14:paraId="371AF199" w14:textId="45D1828E"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52" w:history="1">
        <w:r w:rsidRPr="006200C8">
          <w:rPr>
            <w:rStyle w:val="Hyperlink"/>
            <w:noProof/>
            <w:lang w:val="en-GB"/>
          </w:rPr>
          <w:t>Proposal 10</w:t>
        </w:r>
        <w:r>
          <w:rPr>
            <w:rFonts w:asciiTheme="minorHAnsi" w:eastAsiaTheme="minorEastAsia" w:hAnsiTheme="minorHAnsi"/>
            <w:b w:val="0"/>
            <w:noProof/>
            <w:sz w:val="22"/>
            <w:lang w:val="en-SE" w:eastAsia="en-SE"/>
          </w:rPr>
          <w:tab/>
        </w:r>
        <w:r w:rsidRPr="006200C8">
          <w:rPr>
            <w:rStyle w:val="Hyperlink"/>
            <w:noProof/>
            <w:lang w:val="en-GB"/>
          </w:rPr>
          <w:t>The receiver spurious emissions requirement is the same for both SBFD and non-SBFD slots</w:t>
        </w:r>
      </w:hyperlink>
    </w:p>
    <w:p w14:paraId="1FB351E0" w14:textId="0180D1B1"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53" w:history="1">
        <w:r w:rsidRPr="006200C8">
          <w:rPr>
            <w:rStyle w:val="Hyperlink"/>
            <w:noProof/>
            <w:lang w:val="en-GB"/>
          </w:rPr>
          <w:t>Proposal 11</w:t>
        </w:r>
        <w:r>
          <w:rPr>
            <w:rFonts w:asciiTheme="minorHAnsi" w:eastAsiaTheme="minorEastAsia" w:hAnsiTheme="minorHAnsi"/>
            <w:b w:val="0"/>
            <w:noProof/>
            <w:sz w:val="22"/>
            <w:lang w:val="en-SE" w:eastAsia="en-SE"/>
          </w:rPr>
          <w:tab/>
        </w:r>
        <w:r w:rsidRPr="006200C8">
          <w:rPr>
            <w:rStyle w:val="Hyperlink"/>
            <w:noProof/>
            <w:lang w:val="en-GB"/>
          </w:rPr>
          <w:t>The TX IMD requirement shall be met in SBFD slots, in order to demonstrate that the BS will continue to meet all regulation.</w:t>
        </w:r>
      </w:hyperlink>
    </w:p>
    <w:p w14:paraId="3D58C94E" w14:textId="00F2C1BF"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54" w:history="1">
        <w:r w:rsidRPr="006200C8">
          <w:rPr>
            <w:rStyle w:val="Hyperlink"/>
            <w:noProof/>
            <w:lang w:val="en-GB"/>
          </w:rPr>
          <w:t>Proposal 12</w:t>
        </w:r>
        <w:r>
          <w:rPr>
            <w:rFonts w:asciiTheme="minorHAnsi" w:eastAsiaTheme="minorEastAsia" w:hAnsiTheme="minorHAnsi"/>
            <w:b w:val="0"/>
            <w:noProof/>
            <w:sz w:val="22"/>
            <w:lang w:val="en-SE" w:eastAsia="en-SE"/>
          </w:rPr>
          <w:tab/>
        </w:r>
        <w:r w:rsidRPr="006200C8">
          <w:rPr>
            <w:rStyle w:val="Hyperlink"/>
            <w:noProof/>
            <w:lang w:val="en-GB"/>
          </w:rPr>
          <w:t>The SBFD BS is not expected to receive in the RX sub-band during TX IMD testing.</w:t>
        </w:r>
      </w:hyperlink>
    </w:p>
    <w:p w14:paraId="122F8164" w14:textId="13B508F7"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55" w:history="1">
        <w:r w:rsidRPr="006200C8">
          <w:rPr>
            <w:rStyle w:val="Hyperlink"/>
            <w:noProof/>
            <w:lang w:val="en-GB"/>
          </w:rPr>
          <w:t>Proposal 13</w:t>
        </w:r>
        <w:r>
          <w:rPr>
            <w:rFonts w:asciiTheme="minorHAnsi" w:eastAsiaTheme="minorEastAsia" w:hAnsiTheme="minorHAnsi"/>
            <w:b w:val="0"/>
            <w:noProof/>
            <w:sz w:val="22"/>
            <w:lang w:val="en-SE" w:eastAsia="en-SE"/>
          </w:rPr>
          <w:tab/>
        </w:r>
        <w:r w:rsidRPr="006200C8">
          <w:rPr>
            <w:rStyle w:val="Hyperlink"/>
            <w:noProof/>
            <w:lang w:val="en-GB"/>
          </w:rPr>
          <w:t>Use the same co-existence and co-location requirements (between bands) for SBFD slots as normal TDD. Conformance to these requirements remains declaration based.</w:t>
        </w:r>
      </w:hyperlink>
    </w:p>
    <w:p w14:paraId="43839AD1" w14:textId="795E97A0"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56" w:history="1">
        <w:r w:rsidRPr="006200C8">
          <w:rPr>
            <w:rStyle w:val="Hyperlink"/>
            <w:noProof/>
            <w:lang w:val="en-GB"/>
          </w:rPr>
          <w:t>Proposal 14</w:t>
        </w:r>
        <w:r>
          <w:rPr>
            <w:rFonts w:asciiTheme="minorHAnsi" w:eastAsiaTheme="minorEastAsia" w:hAnsiTheme="minorHAnsi"/>
            <w:b w:val="0"/>
            <w:noProof/>
            <w:sz w:val="22"/>
            <w:lang w:val="en-SE" w:eastAsia="en-SE"/>
          </w:rPr>
          <w:tab/>
        </w:r>
        <w:r w:rsidRPr="006200C8">
          <w:rPr>
            <w:rStyle w:val="Hyperlink"/>
            <w:noProof/>
            <w:lang w:val="en-GB"/>
          </w:rPr>
          <w:t>Study further the DL signal level from other operator BS to assume when defining the SBFD RX blocking requirement.</w:t>
        </w:r>
      </w:hyperlink>
    </w:p>
    <w:p w14:paraId="2AD71453" w14:textId="3BB1E84D"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57" w:history="1">
        <w:r w:rsidRPr="006200C8">
          <w:rPr>
            <w:rStyle w:val="Hyperlink"/>
            <w:noProof/>
            <w:lang w:val="en-GB"/>
          </w:rPr>
          <w:t>Proposal 15</w:t>
        </w:r>
        <w:r>
          <w:rPr>
            <w:rFonts w:asciiTheme="minorHAnsi" w:eastAsiaTheme="minorEastAsia" w:hAnsiTheme="minorHAnsi"/>
            <w:b w:val="0"/>
            <w:noProof/>
            <w:sz w:val="22"/>
            <w:lang w:val="en-SE" w:eastAsia="en-SE"/>
          </w:rPr>
          <w:tab/>
        </w:r>
        <w:r w:rsidRPr="006200C8">
          <w:rPr>
            <w:rStyle w:val="Hyperlink"/>
            <w:noProof/>
            <w:lang w:val="en-GB"/>
          </w:rPr>
          <w:t>Apply the same OOB blocking requirement in SBFD slots as for normal TDD.</w:t>
        </w:r>
      </w:hyperlink>
    </w:p>
    <w:p w14:paraId="18338A2C" w14:textId="60693F77"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58" w:history="1">
        <w:r w:rsidRPr="006200C8">
          <w:rPr>
            <w:rStyle w:val="Hyperlink"/>
            <w:noProof/>
            <w:lang w:val="en-GB"/>
          </w:rPr>
          <w:t>Proposal 16</w:t>
        </w:r>
        <w:r>
          <w:rPr>
            <w:rFonts w:asciiTheme="minorHAnsi" w:eastAsiaTheme="minorEastAsia" w:hAnsiTheme="minorHAnsi"/>
            <w:b w:val="0"/>
            <w:noProof/>
            <w:sz w:val="22"/>
            <w:lang w:val="en-SE" w:eastAsia="en-SE"/>
          </w:rPr>
          <w:tab/>
        </w:r>
        <w:r w:rsidRPr="006200C8">
          <w:rPr>
            <w:rStyle w:val="Hyperlink"/>
            <w:noProof/>
            <w:lang w:val="en-GB"/>
          </w:rPr>
          <w:t>Apply the RX IM requirement as currently defined in 38.104 in SBFD slots</w:t>
        </w:r>
      </w:hyperlink>
    </w:p>
    <w:p w14:paraId="0C48818B" w14:textId="6E344197" w:rsidR="00B26BC8" w:rsidRDefault="00B26BC8">
      <w:pPr>
        <w:pStyle w:val="TableofFigures"/>
        <w:tabs>
          <w:tab w:val="right" w:leader="dot" w:pos="9629"/>
        </w:tabs>
        <w:rPr>
          <w:rFonts w:asciiTheme="minorHAnsi" w:eastAsiaTheme="minorEastAsia" w:hAnsiTheme="minorHAnsi"/>
          <w:b w:val="0"/>
          <w:noProof/>
          <w:sz w:val="22"/>
          <w:lang w:val="en-SE" w:eastAsia="en-SE"/>
        </w:rPr>
      </w:pPr>
      <w:hyperlink w:anchor="_Toc142657559" w:history="1">
        <w:r w:rsidRPr="006200C8">
          <w:rPr>
            <w:rStyle w:val="Hyperlink"/>
            <w:noProof/>
            <w:lang w:val="en-GB"/>
          </w:rPr>
          <w:t>Proposal 17</w:t>
        </w:r>
        <w:r>
          <w:rPr>
            <w:rFonts w:asciiTheme="minorHAnsi" w:eastAsiaTheme="minorEastAsia" w:hAnsiTheme="minorHAnsi"/>
            <w:b w:val="0"/>
            <w:noProof/>
            <w:sz w:val="22"/>
            <w:lang w:val="en-SE" w:eastAsia="en-SE"/>
          </w:rPr>
          <w:tab/>
        </w:r>
        <w:r w:rsidRPr="006200C8">
          <w:rPr>
            <w:rStyle w:val="Hyperlink"/>
            <w:noProof/>
            <w:lang w:val="en-GB"/>
          </w:rPr>
          <w:t>Investigate whether an additional requirement based on a single input signal placed to cause IM with the RX sub-band provides any additional robustness, and whether such a requirement is anyhow implicitly captured by the SBFD RX blocking requirement.</w:t>
        </w:r>
      </w:hyperlink>
    </w:p>
    <w:p w14:paraId="747C743C" w14:textId="549E76E1"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24" w:name="_In-sequence_SDU_delivery"/>
      <w:bookmarkEnd w:id="24"/>
      <w:r w:rsidRPr="00CE0424">
        <w:t>References</w:t>
      </w:r>
    </w:p>
    <w:p w14:paraId="715CA09B" w14:textId="750A64C9" w:rsidR="003A7EF3" w:rsidRPr="00CE0424" w:rsidRDefault="0098194A" w:rsidP="00CE0424">
      <w:pPr>
        <w:pStyle w:val="Reference"/>
      </w:pPr>
      <w:r>
        <w:t>R4-2301885, “</w:t>
      </w:r>
      <w:r w:rsidRPr="004670F4">
        <w:rPr>
          <w:sz w:val="22"/>
        </w:rPr>
        <w:t>BS RF feasibility considerations</w:t>
      </w:r>
      <w:r>
        <w:rPr>
          <w:sz w:val="22"/>
        </w:rPr>
        <w:t>”, Ericsson, RAN4#106, February 2023</w:t>
      </w: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E4806" w14:textId="77777777" w:rsidR="00DF4996" w:rsidRDefault="00DF4996">
      <w:r>
        <w:separator/>
      </w:r>
    </w:p>
  </w:endnote>
  <w:endnote w:type="continuationSeparator" w:id="0">
    <w:p w14:paraId="6C5E54F1" w14:textId="77777777" w:rsidR="00DF4996" w:rsidRDefault="00DF4996">
      <w:r>
        <w:continuationSeparator/>
      </w:r>
    </w:p>
  </w:endnote>
  <w:endnote w:type="continuationNotice" w:id="1">
    <w:p w14:paraId="2CB3B73E" w14:textId="77777777" w:rsidR="00DF4996" w:rsidRDefault="00DF49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39165" w14:textId="77777777" w:rsidR="00DF4996" w:rsidRDefault="00DF4996">
      <w:r>
        <w:separator/>
      </w:r>
    </w:p>
  </w:footnote>
  <w:footnote w:type="continuationSeparator" w:id="0">
    <w:p w14:paraId="56DF1DC4" w14:textId="77777777" w:rsidR="00DF4996" w:rsidRDefault="00DF4996">
      <w:r>
        <w:continuationSeparator/>
      </w:r>
    </w:p>
  </w:footnote>
  <w:footnote w:type="continuationNotice" w:id="1">
    <w:p w14:paraId="528E0255" w14:textId="77777777" w:rsidR="00DF4996" w:rsidRDefault="00DF49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19"/>
  </w:num>
  <w:num w:numId="17" w16cid:durableId="183830960">
    <w:abstractNumId w:val="5"/>
  </w:num>
  <w:num w:numId="18" w16cid:durableId="1606114056">
    <w:abstractNumId w:val="6"/>
  </w:num>
  <w:num w:numId="19" w16cid:durableId="2129543684">
    <w:abstractNumId w:val="4"/>
  </w:num>
  <w:num w:numId="20" w16cid:durableId="1458717335">
    <w:abstractNumId w:val="21"/>
  </w:num>
  <w:num w:numId="21" w16cid:durableId="1670518138">
    <w:abstractNumId w:val="10"/>
  </w:num>
  <w:num w:numId="22" w16cid:durableId="35037904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5229"/>
    <w:rsid w:val="0005606A"/>
    <w:rsid w:val="00057117"/>
    <w:rsid w:val="00061070"/>
    <w:rsid w:val="000616E7"/>
    <w:rsid w:val="00061AF9"/>
    <w:rsid w:val="0006487E"/>
    <w:rsid w:val="0006501B"/>
    <w:rsid w:val="00065E1A"/>
    <w:rsid w:val="00071F48"/>
    <w:rsid w:val="00077E5F"/>
    <w:rsid w:val="0008036A"/>
    <w:rsid w:val="00081AE6"/>
    <w:rsid w:val="000855EB"/>
    <w:rsid w:val="00085B52"/>
    <w:rsid w:val="000866F2"/>
    <w:rsid w:val="0009009F"/>
    <w:rsid w:val="00091557"/>
    <w:rsid w:val="000924C1"/>
    <w:rsid w:val="000924F0"/>
    <w:rsid w:val="00093474"/>
    <w:rsid w:val="0009510F"/>
    <w:rsid w:val="00097E8E"/>
    <w:rsid w:val="000A1B7B"/>
    <w:rsid w:val="000A56F2"/>
    <w:rsid w:val="000B2719"/>
    <w:rsid w:val="000B3A8F"/>
    <w:rsid w:val="000B4AB9"/>
    <w:rsid w:val="000B58C3"/>
    <w:rsid w:val="000B61E9"/>
    <w:rsid w:val="000B712F"/>
    <w:rsid w:val="000C165A"/>
    <w:rsid w:val="000C2E19"/>
    <w:rsid w:val="000D0D07"/>
    <w:rsid w:val="000D204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BF4"/>
    <w:rsid w:val="00126B4A"/>
    <w:rsid w:val="00132FD0"/>
    <w:rsid w:val="001344C0"/>
    <w:rsid w:val="001346FA"/>
    <w:rsid w:val="00135252"/>
    <w:rsid w:val="00137AB5"/>
    <w:rsid w:val="00137F0B"/>
    <w:rsid w:val="00151E23"/>
    <w:rsid w:val="001526E0"/>
    <w:rsid w:val="001551B5"/>
    <w:rsid w:val="001645CA"/>
    <w:rsid w:val="001659C1"/>
    <w:rsid w:val="00173A8E"/>
    <w:rsid w:val="0017502C"/>
    <w:rsid w:val="0018143F"/>
    <w:rsid w:val="00181FF8"/>
    <w:rsid w:val="00190AC1"/>
    <w:rsid w:val="0019341A"/>
    <w:rsid w:val="00194E4A"/>
    <w:rsid w:val="00197DF9"/>
    <w:rsid w:val="001A1987"/>
    <w:rsid w:val="001A2564"/>
    <w:rsid w:val="001A6173"/>
    <w:rsid w:val="001A6CBA"/>
    <w:rsid w:val="001B0D97"/>
    <w:rsid w:val="001B5A5D"/>
    <w:rsid w:val="001C1CE5"/>
    <w:rsid w:val="001C3D2A"/>
    <w:rsid w:val="001C7D77"/>
    <w:rsid w:val="001D51BA"/>
    <w:rsid w:val="001D53E7"/>
    <w:rsid w:val="001D6342"/>
    <w:rsid w:val="001D6D53"/>
    <w:rsid w:val="001E58E2"/>
    <w:rsid w:val="001E7AED"/>
    <w:rsid w:val="001F3916"/>
    <w:rsid w:val="001F54C5"/>
    <w:rsid w:val="001F662C"/>
    <w:rsid w:val="001F7074"/>
    <w:rsid w:val="00200490"/>
    <w:rsid w:val="00201F3A"/>
    <w:rsid w:val="00203F96"/>
    <w:rsid w:val="002055B2"/>
    <w:rsid w:val="002069B2"/>
    <w:rsid w:val="00207FA3"/>
    <w:rsid w:val="00214DA8"/>
    <w:rsid w:val="00215423"/>
    <w:rsid w:val="002158FA"/>
    <w:rsid w:val="00215D97"/>
    <w:rsid w:val="00220600"/>
    <w:rsid w:val="002224DB"/>
    <w:rsid w:val="00223FCB"/>
    <w:rsid w:val="00224458"/>
    <w:rsid w:val="002252C3"/>
    <w:rsid w:val="00225C54"/>
    <w:rsid w:val="00230765"/>
    <w:rsid w:val="00230D18"/>
    <w:rsid w:val="002319E4"/>
    <w:rsid w:val="00235632"/>
    <w:rsid w:val="00235872"/>
    <w:rsid w:val="00241559"/>
    <w:rsid w:val="002435B3"/>
    <w:rsid w:val="002458EB"/>
    <w:rsid w:val="002500C8"/>
    <w:rsid w:val="00257543"/>
    <w:rsid w:val="00260F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794"/>
    <w:rsid w:val="00286ACD"/>
    <w:rsid w:val="00287838"/>
    <w:rsid w:val="002907B5"/>
    <w:rsid w:val="00292EB7"/>
    <w:rsid w:val="002951D8"/>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47E"/>
    <w:rsid w:val="002F2771"/>
    <w:rsid w:val="002F37A9"/>
    <w:rsid w:val="00301CE6"/>
    <w:rsid w:val="0030256B"/>
    <w:rsid w:val="0030501F"/>
    <w:rsid w:val="003051C5"/>
    <w:rsid w:val="00307BA1"/>
    <w:rsid w:val="00311702"/>
    <w:rsid w:val="00311E82"/>
    <w:rsid w:val="00313FD6"/>
    <w:rsid w:val="003143BD"/>
    <w:rsid w:val="00315363"/>
    <w:rsid w:val="003203ED"/>
    <w:rsid w:val="00322C9F"/>
    <w:rsid w:val="00324D23"/>
    <w:rsid w:val="00331751"/>
    <w:rsid w:val="00332D1B"/>
    <w:rsid w:val="00333300"/>
    <w:rsid w:val="00334579"/>
    <w:rsid w:val="00335858"/>
    <w:rsid w:val="00336BDA"/>
    <w:rsid w:val="00342BD7"/>
    <w:rsid w:val="00346DB5"/>
    <w:rsid w:val="003477B1"/>
    <w:rsid w:val="00352F30"/>
    <w:rsid w:val="00357380"/>
    <w:rsid w:val="003602D9"/>
    <w:rsid w:val="003604CE"/>
    <w:rsid w:val="003701A9"/>
    <w:rsid w:val="00370E47"/>
    <w:rsid w:val="003732A9"/>
    <w:rsid w:val="003742AC"/>
    <w:rsid w:val="00377CE1"/>
    <w:rsid w:val="00385BF0"/>
    <w:rsid w:val="00387785"/>
    <w:rsid w:val="003939FF"/>
    <w:rsid w:val="003A2223"/>
    <w:rsid w:val="003A2A0F"/>
    <w:rsid w:val="003A45A1"/>
    <w:rsid w:val="003A5B0A"/>
    <w:rsid w:val="003A6BAC"/>
    <w:rsid w:val="003A70A4"/>
    <w:rsid w:val="003A7D84"/>
    <w:rsid w:val="003A7EF3"/>
    <w:rsid w:val="003B159C"/>
    <w:rsid w:val="003B369F"/>
    <w:rsid w:val="003B36A3"/>
    <w:rsid w:val="003B64BB"/>
    <w:rsid w:val="003B7FE5"/>
    <w:rsid w:val="003C11C8"/>
    <w:rsid w:val="003C2702"/>
    <w:rsid w:val="003C2BD7"/>
    <w:rsid w:val="003C7806"/>
    <w:rsid w:val="003D109F"/>
    <w:rsid w:val="003D2478"/>
    <w:rsid w:val="003D3C45"/>
    <w:rsid w:val="003D5B1F"/>
    <w:rsid w:val="003E15FA"/>
    <w:rsid w:val="003E55E4"/>
    <w:rsid w:val="003E74E3"/>
    <w:rsid w:val="003F05C7"/>
    <w:rsid w:val="003F1B13"/>
    <w:rsid w:val="003F2CD4"/>
    <w:rsid w:val="003F6BBE"/>
    <w:rsid w:val="003F77A5"/>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063C"/>
    <w:rsid w:val="004517AA"/>
    <w:rsid w:val="00452CAC"/>
    <w:rsid w:val="00457565"/>
    <w:rsid w:val="00457B71"/>
    <w:rsid w:val="00464689"/>
    <w:rsid w:val="004669E2"/>
    <w:rsid w:val="00470C31"/>
    <w:rsid w:val="00471BE0"/>
    <w:rsid w:val="00471DE0"/>
    <w:rsid w:val="004734D0"/>
    <w:rsid w:val="0047556B"/>
    <w:rsid w:val="004773F5"/>
    <w:rsid w:val="00477768"/>
    <w:rsid w:val="00492BC5"/>
    <w:rsid w:val="004964F1"/>
    <w:rsid w:val="004A16BC"/>
    <w:rsid w:val="004A2B94"/>
    <w:rsid w:val="004B3003"/>
    <w:rsid w:val="004B3218"/>
    <w:rsid w:val="004B6F6A"/>
    <w:rsid w:val="004B7C0C"/>
    <w:rsid w:val="004C3898"/>
    <w:rsid w:val="004D36B1"/>
    <w:rsid w:val="004D4C50"/>
    <w:rsid w:val="004D7EBD"/>
    <w:rsid w:val="004E2680"/>
    <w:rsid w:val="004E28F9"/>
    <w:rsid w:val="004E462E"/>
    <w:rsid w:val="004E56DC"/>
    <w:rsid w:val="004E76F4"/>
    <w:rsid w:val="004F05EC"/>
    <w:rsid w:val="004F0B4E"/>
    <w:rsid w:val="004F0B6C"/>
    <w:rsid w:val="004F2078"/>
    <w:rsid w:val="004F4DA3"/>
    <w:rsid w:val="005049DC"/>
    <w:rsid w:val="00506557"/>
    <w:rsid w:val="0050677A"/>
    <w:rsid w:val="005108D8"/>
    <w:rsid w:val="005116F9"/>
    <w:rsid w:val="005153A7"/>
    <w:rsid w:val="005219CF"/>
    <w:rsid w:val="005344FC"/>
    <w:rsid w:val="00534B59"/>
    <w:rsid w:val="00536759"/>
    <w:rsid w:val="00537C62"/>
    <w:rsid w:val="00546970"/>
    <w:rsid w:val="00547EEA"/>
    <w:rsid w:val="005531C9"/>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8F1"/>
    <w:rsid w:val="005E5B81"/>
    <w:rsid w:val="005E7084"/>
    <w:rsid w:val="005F2CB1"/>
    <w:rsid w:val="005F3025"/>
    <w:rsid w:val="005F618C"/>
    <w:rsid w:val="005F70BD"/>
    <w:rsid w:val="0060283C"/>
    <w:rsid w:val="00604F14"/>
    <w:rsid w:val="00607502"/>
    <w:rsid w:val="0061192A"/>
    <w:rsid w:val="00611B83"/>
    <w:rsid w:val="00613257"/>
    <w:rsid w:val="0061420F"/>
    <w:rsid w:val="00620A71"/>
    <w:rsid w:val="00620D80"/>
    <w:rsid w:val="006234A6"/>
    <w:rsid w:val="00630001"/>
    <w:rsid w:val="006311B3"/>
    <w:rsid w:val="0063284C"/>
    <w:rsid w:val="00632C3B"/>
    <w:rsid w:val="00636398"/>
    <w:rsid w:val="006368D3"/>
    <w:rsid w:val="006377EC"/>
    <w:rsid w:val="0064151F"/>
    <w:rsid w:val="00641533"/>
    <w:rsid w:val="0064187A"/>
    <w:rsid w:val="0064208D"/>
    <w:rsid w:val="00643475"/>
    <w:rsid w:val="0064396A"/>
    <w:rsid w:val="0064624E"/>
    <w:rsid w:val="00650AB9"/>
    <w:rsid w:val="00655733"/>
    <w:rsid w:val="00655ACD"/>
    <w:rsid w:val="00656A92"/>
    <w:rsid w:val="00656DDE"/>
    <w:rsid w:val="0066011D"/>
    <w:rsid w:val="006607C0"/>
    <w:rsid w:val="0066080C"/>
    <w:rsid w:val="006613A6"/>
    <w:rsid w:val="006627A2"/>
    <w:rsid w:val="006634E6"/>
    <w:rsid w:val="006655EE"/>
    <w:rsid w:val="00667EE7"/>
    <w:rsid w:val="00670922"/>
    <w:rsid w:val="00670BE1"/>
    <w:rsid w:val="0067218F"/>
    <w:rsid w:val="006741F2"/>
    <w:rsid w:val="006744E4"/>
    <w:rsid w:val="00674CC3"/>
    <w:rsid w:val="00675C72"/>
    <w:rsid w:val="006771F9"/>
    <w:rsid w:val="006776D7"/>
    <w:rsid w:val="00681003"/>
    <w:rsid w:val="006817C9"/>
    <w:rsid w:val="00683ECE"/>
    <w:rsid w:val="0068644D"/>
    <w:rsid w:val="006944F0"/>
    <w:rsid w:val="00695FC2"/>
    <w:rsid w:val="00696949"/>
    <w:rsid w:val="00697052"/>
    <w:rsid w:val="006A46FB"/>
    <w:rsid w:val="006A5E28"/>
    <w:rsid w:val="006A697B"/>
    <w:rsid w:val="006A7AFF"/>
    <w:rsid w:val="006B1816"/>
    <w:rsid w:val="006B2099"/>
    <w:rsid w:val="006B50CF"/>
    <w:rsid w:val="006C03B8"/>
    <w:rsid w:val="006C1692"/>
    <w:rsid w:val="006C5EC9"/>
    <w:rsid w:val="006C6059"/>
    <w:rsid w:val="006C7522"/>
    <w:rsid w:val="006D001E"/>
    <w:rsid w:val="006D6F08"/>
    <w:rsid w:val="006E062C"/>
    <w:rsid w:val="006E1C82"/>
    <w:rsid w:val="006E28B7"/>
    <w:rsid w:val="006E2A9B"/>
    <w:rsid w:val="006E3310"/>
    <w:rsid w:val="006E4E39"/>
    <w:rsid w:val="006E565E"/>
    <w:rsid w:val="006E673D"/>
    <w:rsid w:val="006E7D3B"/>
    <w:rsid w:val="006F1B70"/>
    <w:rsid w:val="006F2BA9"/>
    <w:rsid w:val="006F341D"/>
    <w:rsid w:val="006F3CDE"/>
    <w:rsid w:val="006F581A"/>
    <w:rsid w:val="006F58D4"/>
    <w:rsid w:val="006F6582"/>
    <w:rsid w:val="0070346E"/>
    <w:rsid w:val="00704EDB"/>
    <w:rsid w:val="00706101"/>
    <w:rsid w:val="00707072"/>
    <w:rsid w:val="00707D61"/>
    <w:rsid w:val="00711456"/>
    <w:rsid w:val="00712287"/>
    <w:rsid w:val="00712772"/>
    <w:rsid w:val="00713043"/>
    <w:rsid w:val="007148D3"/>
    <w:rsid w:val="00715B9A"/>
    <w:rsid w:val="00720B67"/>
    <w:rsid w:val="00721B32"/>
    <w:rsid w:val="007257D0"/>
    <w:rsid w:val="00726381"/>
    <w:rsid w:val="00726EA6"/>
    <w:rsid w:val="00727208"/>
    <w:rsid w:val="00727680"/>
    <w:rsid w:val="00733BA8"/>
    <w:rsid w:val="007348B1"/>
    <w:rsid w:val="007362A6"/>
    <w:rsid w:val="00736D7D"/>
    <w:rsid w:val="00740E58"/>
    <w:rsid w:val="007430DB"/>
    <w:rsid w:val="007445A0"/>
    <w:rsid w:val="0074524B"/>
    <w:rsid w:val="00747D8B"/>
    <w:rsid w:val="00751228"/>
    <w:rsid w:val="007571E1"/>
    <w:rsid w:val="007604B2"/>
    <w:rsid w:val="00765281"/>
    <w:rsid w:val="00766BAD"/>
    <w:rsid w:val="007721BA"/>
    <w:rsid w:val="007729A2"/>
    <w:rsid w:val="007754CA"/>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1A79"/>
    <w:rsid w:val="007C3D18"/>
    <w:rsid w:val="007C60BF"/>
    <w:rsid w:val="007C6A07"/>
    <w:rsid w:val="007C6CBF"/>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451"/>
    <w:rsid w:val="00817196"/>
    <w:rsid w:val="008235DB"/>
    <w:rsid w:val="00824AB4"/>
    <w:rsid w:val="00824AB5"/>
    <w:rsid w:val="00825C42"/>
    <w:rsid w:val="00825D25"/>
    <w:rsid w:val="00825D2E"/>
    <w:rsid w:val="00827B60"/>
    <w:rsid w:val="00827D6F"/>
    <w:rsid w:val="008376AC"/>
    <w:rsid w:val="008444E8"/>
    <w:rsid w:val="00844E80"/>
    <w:rsid w:val="008461DC"/>
    <w:rsid w:val="00846FE7"/>
    <w:rsid w:val="0085012D"/>
    <w:rsid w:val="00856911"/>
    <w:rsid w:val="008677FD"/>
    <w:rsid w:val="008706D4"/>
    <w:rsid w:val="00870F8A"/>
    <w:rsid w:val="008719A4"/>
    <w:rsid w:val="00871D23"/>
    <w:rsid w:val="00874312"/>
    <w:rsid w:val="0087437C"/>
    <w:rsid w:val="00875CD7"/>
    <w:rsid w:val="00875F15"/>
    <w:rsid w:val="00876B4D"/>
    <w:rsid w:val="00877F18"/>
    <w:rsid w:val="008868DE"/>
    <w:rsid w:val="00891861"/>
    <w:rsid w:val="008941E3"/>
    <w:rsid w:val="00894A88"/>
    <w:rsid w:val="00895386"/>
    <w:rsid w:val="008A21FF"/>
    <w:rsid w:val="008A2CE2"/>
    <w:rsid w:val="008A30AC"/>
    <w:rsid w:val="008A44B8"/>
    <w:rsid w:val="008A51A8"/>
    <w:rsid w:val="008A54C7"/>
    <w:rsid w:val="008A77D8"/>
    <w:rsid w:val="008B0483"/>
    <w:rsid w:val="008B120C"/>
    <w:rsid w:val="008B18E0"/>
    <w:rsid w:val="008B51A0"/>
    <w:rsid w:val="008B592A"/>
    <w:rsid w:val="008B7B5C"/>
    <w:rsid w:val="008C0C99"/>
    <w:rsid w:val="008C2017"/>
    <w:rsid w:val="008C4958"/>
    <w:rsid w:val="008C4BAA"/>
    <w:rsid w:val="008C6AE8"/>
    <w:rsid w:val="008C7573"/>
    <w:rsid w:val="008D00A5"/>
    <w:rsid w:val="008D34F1"/>
    <w:rsid w:val="008D39D8"/>
    <w:rsid w:val="008D67FB"/>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819"/>
    <w:rsid w:val="0097603D"/>
    <w:rsid w:val="00976949"/>
    <w:rsid w:val="00980477"/>
    <w:rsid w:val="0098194A"/>
    <w:rsid w:val="00982295"/>
    <w:rsid w:val="00985253"/>
    <w:rsid w:val="009853B3"/>
    <w:rsid w:val="00990630"/>
    <w:rsid w:val="00991761"/>
    <w:rsid w:val="00994DCA"/>
    <w:rsid w:val="009960EC"/>
    <w:rsid w:val="009970DD"/>
    <w:rsid w:val="009A0FBA"/>
    <w:rsid w:val="009A1601"/>
    <w:rsid w:val="009A3BB6"/>
    <w:rsid w:val="009A462D"/>
    <w:rsid w:val="009A4B73"/>
    <w:rsid w:val="009A5CBA"/>
    <w:rsid w:val="009A7C3B"/>
    <w:rsid w:val="009B1F30"/>
    <w:rsid w:val="009B3282"/>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04FF0"/>
    <w:rsid w:val="00A10013"/>
    <w:rsid w:val="00A13E54"/>
    <w:rsid w:val="00A17F63"/>
    <w:rsid w:val="00A2193B"/>
    <w:rsid w:val="00A2351A"/>
    <w:rsid w:val="00A264A9"/>
    <w:rsid w:val="00A26DCF"/>
    <w:rsid w:val="00A27785"/>
    <w:rsid w:val="00A30187"/>
    <w:rsid w:val="00A3448A"/>
    <w:rsid w:val="00A35F14"/>
    <w:rsid w:val="00A36297"/>
    <w:rsid w:val="00A41E2B"/>
    <w:rsid w:val="00A45B74"/>
    <w:rsid w:val="00A46D41"/>
    <w:rsid w:val="00A5121B"/>
    <w:rsid w:val="00A52E1D"/>
    <w:rsid w:val="00A5490F"/>
    <w:rsid w:val="00A61499"/>
    <w:rsid w:val="00A62A77"/>
    <w:rsid w:val="00A63483"/>
    <w:rsid w:val="00A657D7"/>
    <w:rsid w:val="00A660AC"/>
    <w:rsid w:val="00A67E6C"/>
    <w:rsid w:val="00A71B99"/>
    <w:rsid w:val="00A739D0"/>
    <w:rsid w:val="00A761D4"/>
    <w:rsid w:val="00A772C6"/>
    <w:rsid w:val="00A77EC4"/>
    <w:rsid w:val="00A92879"/>
    <w:rsid w:val="00A9442A"/>
    <w:rsid w:val="00A961A8"/>
    <w:rsid w:val="00AA016F"/>
    <w:rsid w:val="00AA1ED6"/>
    <w:rsid w:val="00AA3682"/>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4E9B"/>
    <w:rsid w:val="00B006FE"/>
    <w:rsid w:val="00B007CB"/>
    <w:rsid w:val="00B02AA9"/>
    <w:rsid w:val="00B02FA3"/>
    <w:rsid w:val="00B05084"/>
    <w:rsid w:val="00B157F9"/>
    <w:rsid w:val="00B20256"/>
    <w:rsid w:val="00B20D09"/>
    <w:rsid w:val="00B26BC8"/>
    <w:rsid w:val="00B2757F"/>
    <w:rsid w:val="00B2763F"/>
    <w:rsid w:val="00B27AAC"/>
    <w:rsid w:val="00B30929"/>
    <w:rsid w:val="00B372AA"/>
    <w:rsid w:val="00B40445"/>
    <w:rsid w:val="00B409E0"/>
    <w:rsid w:val="00B41888"/>
    <w:rsid w:val="00B45A52"/>
    <w:rsid w:val="00B46175"/>
    <w:rsid w:val="00B51007"/>
    <w:rsid w:val="00B548B7"/>
    <w:rsid w:val="00B664C7"/>
    <w:rsid w:val="00B67050"/>
    <w:rsid w:val="00B713D8"/>
    <w:rsid w:val="00B739F6"/>
    <w:rsid w:val="00B81A6C"/>
    <w:rsid w:val="00B85DE5"/>
    <w:rsid w:val="00B90F73"/>
    <w:rsid w:val="00B93B59"/>
    <w:rsid w:val="00B9406A"/>
    <w:rsid w:val="00B95DB5"/>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1D4"/>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17BA"/>
    <w:rsid w:val="00C473A5"/>
    <w:rsid w:val="00C54995"/>
    <w:rsid w:val="00C54D41"/>
    <w:rsid w:val="00C60783"/>
    <w:rsid w:val="00C6132C"/>
    <w:rsid w:val="00C64672"/>
    <w:rsid w:val="00C70697"/>
    <w:rsid w:val="00C72093"/>
    <w:rsid w:val="00C72EF4"/>
    <w:rsid w:val="00C744FE"/>
    <w:rsid w:val="00C75D2F"/>
    <w:rsid w:val="00C767BE"/>
    <w:rsid w:val="00C76E3C"/>
    <w:rsid w:val="00C77B72"/>
    <w:rsid w:val="00C81568"/>
    <w:rsid w:val="00C9027A"/>
    <w:rsid w:val="00C9068E"/>
    <w:rsid w:val="00C93814"/>
    <w:rsid w:val="00C93C4B"/>
    <w:rsid w:val="00C944AB"/>
    <w:rsid w:val="00C95B40"/>
    <w:rsid w:val="00CA1ED8"/>
    <w:rsid w:val="00CB1F63"/>
    <w:rsid w:val="00CB2968"/>
    <w:rsid w:val="00CB7170"/>
    <w:rsid w:val="00CC040E"/>
    <w:rsid w:val="00CC111F"/>
    <w:rsid w:val="00CC2011"/>
    <w:rsid w:val="00CC3EA0"/>
    <w:rsid w:val="00CC7B45"/>
    <w:rsid w:val="00CD1188"/>
    <w:rsid w:val="00CD167A"/>
    <w:rsid w:val="00CD2ED1"/>
    <w:rsid w:val="00CD337B"/>
    <w:rsid w:val="00CE0424"/>
    <w:rsid w:val="00CE7561"/>
    <w:rsid w:val="00CF1354"/>
    <w:rsid w:val="00CF31ED"/>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3C6"/>
    <w:rsid w:val="00D4318F"/>
    <w:rsid w:val="00D43355"/>
    <w:rsid w:val="00D438BF"/>
    <w:rsid w:val="00D440F8"/>
    <w:rsid w:val="00D546FF"/>
    <w:rsid w:val="00D55AD5"/>
    <w:rsid w:val="00D576CA"/>
    <w:rsid w:val="00D600B9"/>
    <w:rsid w:val="00D61AF5"/>
    <w:rsid w:val="00D652B5"/>
    <w:rsid w:val="00D66155"/>
    <w:rsid w:val="00D708B0"/>
    <w:rsid w:val="00D738A6"/>
    <w:rsid w:val="00D77B1D"/>
    <w:rsid w:val="00D8021F"/>
    <w:rsid w:val="00D80383"/>
    <w:rsid w:val="00D823C6"/>
    <w:rsid w:val="00D8327F"/>
    <w:rsid w:val="00D86CA3"/>
    <w:rsid w:val="00D871CE"/>
    <w:rsid w:val="00D918D8"/>
    <w:rsid w:val="00D9196D"/>
    <w:rsid w:val="00D92982"/>
    <w:rsid w:val="00DA1052"/>
    <w:rsid w:val="00DA305E"/>
    <w:rsid w:val="00DA5417"/>
    <w:rsid w:val="00DA56E8"/>
    <w:rsid w:val="00DB0A9F"/>
    <w:rsid w:val="00DB377D"/>
    <w:rsid w:val="00DC2D36"/>
    <w:rsid w:val="00DC53EF"/>
    <w:rsid w:val="00DD402C"/>
    <w:rsid w:val="00DE5608"/>
    <w:rsid w:val="00DE58D0"/>
    <w:rsid w:val="00DE654F"/>
    <w:rsid w:val="00DF0B6E"/>
    <w:rsid w:val="00DF15E0"/>
    <w:rsid w:val="00DF37A0"/>
    <w:rsid w:val="00DF4996"/>
    <w:rsid w:val="00E10519"/>
    <w:rsid w:val="00E110E7"/>
    <w:rsid w:val="00E11B20"/>
    <w:rsid w:val="00E17FA2"/>
    <w:rsid w:val="00E22330"/>
    <w:rsid w:val="00E23626"/>
    <w:rsid w:val="00E252AA"/>
    <w:rsid w:val="00E30B5A"/>
    <w:rsid w:val="00E3123D"/>
    <w:rsid w:val="00E31461"/>
    <w:rsid w:val="00E31D43"/>
    <w:rsid w:val="00E32608"/>
    <w:rsid w:val="00E34188"/>
    <w:rsid w:val="00E34B6E"/>
    <w:rsid w:val="00E35559"/>
    <w:rsid w:val="00E3723A"/>
    <w:rsid w:val="00E37860"/>
    <w:rsid w:val="00E446F1"/>
    <w:rsid w:val="00E44F92"/>
    <w:rsid w:val="00E46886"/>
    <w:rsid w:val="00E47AEF"/>
    <w:rsid w:val="00E53B75"/>
    <w:rsid w:val="00E54E3B"/>
    <w:rsid w:val="00E57565"/>
    <w:rsid w:val="00E63838"/>
    <w:rsid w:val="00E64434"/>
    <w:rsid w:val="00E66F97"/>
    <w:rsid w:val="00E67C51"/>
    <w:rsid w:val="00E72EFC"/>
    <w:rsid w:val="00E75437"/>
    <w:rsid w:val="00E758EC"/>
    <w:rsid w:val="00E8234C"/>
    <w:rsid w:val="00E83AA9"/>
    <w:rsid w:val="00E85928"/>
    <w:rsid w:val="00E87822"/>
    <w:rsid w:val="00E90395"/>
    <w:rsid w:val="00E90E49"/>
    <w:rsid w:val="00E917F9"/>
    <w:rsid w:val="00E9291C"/>
    <w:rsid w:val="00E93FFE"/>
    <w:rsid w:val="00E94F8A"/>
    <w:rsid w:val="00EA32DA"/>
    <w:rsid w:val="00EA7A41"/>
    <w:rsid w:val="00EB077B"/>
    <w:rsid w:val="00EB4EA2"/>
    <w:rsid w:val="00EC24D5"/>
    <w:rsid w:val="00EC27C6"/>
    <w:rsid w:val="00EC4207"/>
    <w:rsid w:val="00EC5653"/>
    <w:rsid w:val="00EC71CE"/>
    <w:rsid w:val="00ED0DC9"/>
    <w:rsid w:val="00ED1006"/>
    <w:rsid w:val="00EE75BF"/>
    <w:rsid w:val="00EF18FE"/>
    <w:rsid w:val="00EF5787"/>
    <w:rsid w:val="00EF60D0"/>
    <w:rsid w:val="00F0528D"/>
    <w:rsid w:val="00F06C67"/>
    <w:rsid w:val="00F06DFD"/>
    <w:rsid w:val="00F071D1"/>
    <w:rsid w:val="00F07533"/>
    <w:rsid w:val="00F10629"/>
    <w:rsid w:val="00F11EAE"/>
    <w:rsid w:val="00F15FA5"/>
    <w:rsid w:val="00F209B7"/>
    <w:rsid w:val="00F2376F"/>
    <w:rsid w:val="00F243D8"/>
    <w:rsid w:val="00F30321"/>
    <w:rsid w:val="00F30828"/>
    <w:rsid w:val="00F309FE"/>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9B0"/>
    <w:rsid w:val="00F93AA9"/>
    <w:rsid w:val="00F93CBE"/>
    <w:rsid w:val="00F96985"/>
    <w:rsid w:val="00F97838"/>
    <w:rsid w:val="00FA22D1"/>
    <w:rsid w:val="00FA2BB3"/>
    <w:rsid w:val="00FB4C80"/>
    <w:rsid w:val="00FB6A6A"/>
    <w:rsid w:val="00FB77BB"/>
    <w:rsid w:val="00FC0714"/>
    <w:rsid w:val="00FC3878"/>
    <w:rsid w:val="00FC7429"/>
    <w:rsid w:val="00FD07F6"/>
    <w:rsid w:val="00FD17AC"/>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5NUHHDQN7SK2-1476151046-543506</_dlc_DocId>
    <_dlc_DocIdUrl xmlns="f166a696-7b5b-4ccd-9f0c-ffde0cceec81">
      <Url>https://ericsson.sharepoint.com/sites/star/_layouts/15/DocIdRedir.aspx?ID=5NUHHDQN7SK2-1476151046-543506</Url>
      <Description>5NUHHDQN7SK2-1476151046-543506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36FBDE-49B0-4915-9E15-E28AA4068992}">
  <ds:schemaRefs>
    <ds:schemaRef ds:uri="http://schemas.microsoft.com/sharepoint/events"/>
  </ds:schemaRefs>
</ds:datastoreItem>
</file>

<file path=customXml/itemProps2.xml><?xml version="1.0" encoding="utf-8"?>
<ds:datastoreItem xmlns:ds="http://schemas.openxmlformats.org/officeDocument/2006/customXml" ds:itemID="{1FA230E4-14D1-4782-8532-8B497E57D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15CA1-EA22-408B-93F6-6813014DB393}">
  <ds:schemaRefs>
    <ds:schemaRef ds:uri="Microsoft.SharePoint.Taxonomy.ContentTypeSync"/>
  </ds:schemaRefs>
</ds:datastoreItem>
</file>

<file path=customXml/itemProps4.xml><?xml version="1.0" encoding="utf-8"?>
<ds:datastoreItem xmlns:ds="http://schemas.openxmlformats.org/officeDocument/2006/customXml" ds:itemID="{C93A020F-C79F-4126-A924-A5569F12E27A}">
  <ds:schemaRefs>
    <ds:schemaRef ds:uri="d8762117-8292-4133-b1c7-eab5c6487cfd"/>
    <ds:schemaRef ds:uri="http://purl.org/dc/dcmitype/"/>
    <ds:schemaRef ds:uri="http://schemas.openxmlformats.org/package/2006/metadata/core-properties"/>
    <ds:schemaRef ds:uri="http://purl.org/dc/elements/1.1/"/>
    <ds:schemaRef ds:uri="http://schemas.microsoft.com/office/infopath/2007/PartnerControls"/>
    <ds:schemaRef ds:uri="http://purl.org/dc/terms/"/>
    <ds:schemaRef ds:uri="http://schemas.microsoft.com/office/2006/metadata/properties"/>
    <ds:schemaRef ds:uri="http://schemas.microsoft.com/sharepoint/v4"/>
    <ds:schemaRef ds:uri="http://schemas.microsoft.com/office/2006/documentManagement/types"/>
    <ds:schemaRef ds:uri="f166a696-7b5b-4ccd-9f0c-ffde0cceec81"/>
    <ds:schemaRef ds:uri="611109f9-ed58-4498-a270-1fb2086a5321"/>
    <ds:schemaRef ds:uri="http://www.w3.org/XML/1998/namespace"/>
  </ds:schemaRefs>
</ds:datastoreItem>
</file>

<file path=customXml/itemProps5.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2788</TotalTime>
  <Pages>7</Pages>
  <Words>2923</Words>
  <Characters>15717</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131</cp:revision>
  <cp:lastPrinted>2008-01-31T16:09:00Z</cp:lastPrinted>
  <dcterms:created xsi:type="dcterms:W3CDTF">2020-08-14T06:21:00Z</dcterms:created>
  <dcterms:modified xsi:type="dcterms:W3CDTF">2023-08-11T12:45:00Z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a1c586d9-9b3d-46a6-a904-9c498aed0344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